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pacing w:before="120"/>
        <w:rPr>
          <w:sz w:val="22"/>
        </w:rPr>
      </w:pPr>
      <w:bookmarkStart w:id="0" w:name="_Ref494746248"/>
      <w:r>
        <w:rPr>
          <w:rFonts w:ascii="Arial" w:hAnsi="Arial" w:cs="Arial"/>
          <w:b/>
          <w:sz w:val="22"/>
        </w:rPr>
        <w:t>3GPP TSG RAN WG1 #1</w:t>
      </w:r>
      <w:r>
        <w:rPr>
          <w:rFonts w:hint="eastAsia" w:ascii="Arial" w:hAnsi="Arial" w:cs="Arial"/>
          <w:b/>
          <w:sz w:val="22"/>
        </w:rPr>
        <w:t>14bis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R1-2309135</w:t>
      </w:r>
    </w:p>
    <w:p>
      <w:pPr>
        <w:tabs>
          <w:tab w:val="right" w:pos="9630"/>
        </w:tabs>
        <w:spacing w:before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lang w:eastAsia="ja-JP"/>
        </w:rPr>
        <w:t xml:space="preserve">Xiamen, China, October </w:t>
      </w:r>
      <w:r>
        <w:rPr>
          <w:rFonts w:ascii="Arial" w:hAnsi="Arial" w:eastAsia="MS Mincho" w:cs="Arial"/>
          <w:b/>
          <w:bCs/>
          <w:sz w:val="22"/>
          <w:lang w:eastAsia="ja-JP"/>
        </w:rPr>
        <w:t>9</w:t>
      </w:r>
      <w:r>
        <w:rPr>
          <w:rFonts w:hint="eastAsia" w:ascii="Malgun Gothic" w:hAnsi="Malgun Gothic" w:eastAsia="Malgun Gothic" w:cs="Malgun Gothic"/>
          <w:b/>
          <w:bCs/>
          <w:sz w:val="22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– </w:t>
      </w:r>
      <w:r>
        <w:rPr>
          <w:rFonts w:hint="eastAsia" w:ascii="Arial" w:hAnsi="Arial" w:cs="Arial"/>
          <w:b/>
          <w:bCs/>
          <w:sz w:val="22"/>
        </w:rPr>
        <w:t>October</w:t>
      </w:r>
      <w:r>
        <w:rPr>
          <w:rFonts w:ascii="Arial" w:hAnsi="Arial" w:eastAsia="MS Mincho" w:cs="Arial"/>
          <w:b/>
          <w:bCs/>
          <w:sz w:val="22"/>
          <w:lang w:eastAsia="ja-JP"/>
        </w:rPr>
        <w:t xml:space="preserve"> 13</w:t>
      </w:r>
      <w:r>
        <w:rPr>
          <w:rFonts w:ascii="Arial" w:hAnsi="Arial" w:eastAsia="MS Mincho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2"/>
          <w:lang w:eastAsia="ja-JP"/>
        </w:rPr>
        <w:t>, 2023</w:t>
      </w:r>
      <w:r>
        <w:rPr>
          <w:rFonts w:ascii="Arial" w:hAnsi="Arial" w:cs="Arial"/>
          <w:b/>
          <w:sz w:val="22"/>
        </w:rPr>
        <w:tab/>
      </w:r>
    </w:p>
    <w:p>
      <w:pPr>
        <w:pStyle w:val="37"/>
        <w:jc w:val="both"/>
      </w:pPr>
    </w:p>
    <w:p>
      <w:pPr>
        <w:tabs>
          <w:tab w:val="left" w:pos="1985"/>
        </w:tabs>
        <w:spacing w:before="12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spacing w:before="120"/>
        <w:ind w:left="1988" w:hanging="1988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 xml:space="preserve">Maintenance of NR PDCCH reception in symbols with LTE CRS </w:t>
      </w:r>
    </w:p>
    <w:p>
      <w:pPr>
        <w:tabs>
          <w:tab w:val="left" w:pos="1985"/>
        </w:tabs>
        <w:spacing w:before="12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8.1</w:t>
      </w:r>
      <w:r>
        <w:rPr>
          <w:rFonts w:hint="eastAsia" w:ascii="Arial" w:hAnsi="Arial"/>
          <w:b/>
        </w:rPr>
        <w:t>0</w:t>
      </w:r>
      <w:r>
        <w:rPr>
          <w:rFonts w:ascii="Arial" w:hAnsi="Arial"/>
          <w:b/>
        </w:rPr>
        <w:t>.1</w:t>
      </w:r>
    </w:p>
    <w:p>
      <w:pPr>
        <w:spacing w:before="120"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>
      <w:pPr>
        <w:pStyle w:val="2"/>
        <w:textAlignment w:val="auto"/>
        <w:rPr>
          <w:lang w:val="en-US"/>
        </w:rPr>
      </w:pPr>
      <w:bookmarkStart w:id="2" w:name="_Ref4817"/>
      <w:r>
        <w:rPr>
          <w:lang w:val="en-US"/>
        </w:rPr>
        <w:t>Introduction</w:t>
      </w:r>
      <w:bookmarkEnd w:id="0"/>
      <w:bookmarkEnd w:id="2"/>
    </w:p>
    <w:p>
      <w:pPr>
        <w:spacing w:before="120" w:after="120" w:afterLines="50"/>
      </w:pPr>
      <w:r>
        <w:rPr>
          <w:rFonts w:eastAsia="宋体"/>
          <w:color w:val="000000"/>
        </w:rPr>
        <w:t>After RAN1#11</w:t>
      </w:r>
      <w:r>
        <w:rPr>
          <w:rFonts w:hint="eastAsia"/>
          <w:color w:val="000000"/>
        </w:rPr>
        <w:t>0</w:t>
      </w:r>
      <w:r>
        <w:rPr>
          <w:rFonts w:eastAsia="宋体"/>
          <w:color w:val="000000"/>
        </w:rPr>
        <w:t xml:space="preserve"> meeting, </w:t>
      </w:r>
      <w:r>
        <w:rPr>
          <w:rFonts w:hint="eastAsia"/>
          <w:iCs/>
        </w:rPr>
        <w:t xml:space="preserve">Rel-18 </w:t>
      </w:r>
      <w:r>
        <w:rPr>
          <w:rFonts w:eastAsia="宋体"/>
          <w:color w:val="000000"/>
        </w:rPr>
        <w:t xml:space="preserve">Enhancement of NR Dynamic spectrum sharing (DSS) has been completed from RAN1 perspective. </w:t>
      </w:r>
      <w:r>
        <w:t xml:space="preserve">In this contribution, we provide our analysis </w:t>
      </w:r>
      <w:r>
        <w:rPr>
          <w:rFonts w:hint="eastAsia"/>
        </w:rPr>
        <w:t xml:space="preserve">and potential TPs </w:t>
      </w:r>
      <w:r>
        <w:t xml:space="preserve">on </w:t>
      </w:r>
      <w:r>
        <w:rPr>
          <w:rFonts w:hint="eastAsia"/>
        </w:rPr>
        <w:t>the remaining issues</w:t>
      </w:r>
      <w:r>
        <w:t xml:space="preserve"> </w:t>
      </w:r>
      <w:r>
        <w:rPr>
          <w:rFonts w:hint="eastAsia"/>
        </w:rPr>
        <w:t xml:space="preserve">on </w:t>
      </w:r>
      <w:r>
        <w:rPr>
          <w:rFonts w:hint="eastAsia"/>
          <w:iCs/>
        </w:rPr>
        <w:t xml:space="preserve">PDCCH </w:t>
      </w:r>
      <w:r>
        <w:rPr>
          <w:lang w:eastAsia="ja-JP"/>
        </w:rPr>
        <w:t>reception in symbols with LTE CRS REs</w:t>
      </w:r>
      <w:r>
        <w:t>.</w:t>
      </w:r>
      <w:r>
        <w:rPr>
          <w:rFonts w:hint="eastAsia"/>
        </w:rPr>
        <w:t xml:space="preserve"> </w:t>
      </w: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TP for TS 38.211</w:t>
      </w:r>
    </w:p>
    <w:p>
      <w:pPr>
        <w:numPr>
          <w:ilvl w:val="3"/>
          <w:numId w:val="0"/>
        </w:numPr>
        <w:snapToGrid w:val="0"/>
        <w:spacing w:before="120" w:after="120" w:afterLines="50"/>
      </w:pPr>
      <w:r>
        <w:rPr>
          <w:rFonts w:hint="eastAsia"/>
        </w:rPr>
        <w:t>Based on the TS 38.211</w:t>
      </w:r>
      <w:r>
        <w:rPr>
          <w:rFonts w:hint="eastAsia" w:eastAsia="宋体"/>
          <w:lang w:val="en-US" w:eastAsia="zh-CN"/>
        </w:rPr>
        <w:t>-i00</w:t>
      </w:r>
      <w:r>
        <w:rPr>
          <w:rFonts w:hint="eastAsia"/>
        </w:rPr>
        <w:t xml:space="preserve"> [1], </w:t>
      </w:r>
      <w:r>
        <w:t>the UE may assume that no resource elements in the CORESET overlap with</w:t>
      </w:r>
      <w:r>
        <w:rPr>
          <w:rFonts w:hint="eastAsia"/>
        </w:rPr>
        <w:t xml:space="preserve"> LTE CRS from</w:t>
      </w:r>
      <w:r>
        <w:rPr>
          <w:iCs/>
        </w:rPr>
        <w:t xml:space="preserve"> </w:t>
      </w:r>
      <w:r>
        <w:rPr>
          <w:i/>
        </w:rPr>
        <w:t>lte-CRS-PatternList1</w:t>
      </w:r>
      <w:r>
        <w:rPr>
          <w:iCs/>
        </w:rPr>
        <w:t>,</w:t>
      </w:r>
      <w:r>
        <w:t xml:space="preserve"> or </w:t>
      </w:r>
      <w:r>
        <w:rPr>
          <w:i/>
        </w:rPr>
        <w:t>lte-CRS-PatternList2</w:t>
      </w:r>
      <w:r>
        <w:t xml:space="preserve"> if the UE is not provided with</w:t>
      </w:r>
      <w:r>
        <w:rPr>
          <w:rFonts w:hint="eastAsia"/>
        </w:rPr>
        <w:t xml:space="preserve"> </w:t>
      </w:r>
      <w:r>
        <w:rPr>
          <w:i/>
        </w:rPr>
        <w:t>pdcchCandidateReception-WithCRSOverlap</w:t>
      </w:r>
      <w:r>
        <w:t>.</w:t>
      </w:r>
      <w:r>
        <w:rPr>
          <w:rFonts w:hint="eastAsia"/>
        </w:rPr>
        <w:t xml:space="preserve"> </w:t>
      </w:r>
    </w:p>
    <w:tbl>
      <w:tblPr>
        <w:tblStyle w:val="51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5"/>
              <w:numPr>
                <w:ilvl w:val="3"/>
                <w:numId w:val="0"/>
              </w:numPr>
              <w:spacing w:line="280" w:lineRule="atLeast"/>
              <w:jc w:val="both"/>
              <w:outlineLvl w:val="3"/>
              <w:rPr>
                <w:rFonts w:cs="Arial"/>
              </w:rPr>
            </w:pPr>
            <w:bookmarkStart w:id="3" w:name="_Toc29230367"/>
            <w:bookmarkStart w:id="4" w:name="_Toc19796491"/>
            <w:bookmarkStart w:id="5" w:name="_Toc45107465"/>
            <w:bookmarkStart w:id="6" w:name="_Toc106014825"/>
            <w:bookmarkStart w:id="7" w:name="_Toc26459717"/>
            <w:bookmarkStart w:id="8" w:name="_Toc51774134"/>
            <w:bookmarkStart w:id="9" w:name="_Toc36026626"/>
            <w:r>
              <w:rPr>
                <w:rFonts w:cs="Arial"/>
              </w:rPr>
              <w:t>7.3.2.2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Control-resource set (CORESET)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>
            <w:pPr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  <w:p>
            <w:pPr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 a CORESET configured by the </w:t>
            </w:r>
            <w:r>
              <w:rPr>
                <w:rFonts w:ascii="Times New Roman" w:hAnsi="Times New Roman" w:cs="Times New Roman"/>
                <w:i/>
              </w:rPr>
              <w:t>ControlResourceSet</w:t>
            </w:r>
            <w:r>
              <w:rPr>
                <w:rFonts w:ascii="Times New Roman" w:hAnsi="Times New Roman" w:cs="Times New Roman"/>
              </w:rPr>
              <w:t xml:space="preserve"> IE: 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RB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CORESET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p>
              </m:sSubSup>
            </m:oMath>
            <w:r>
              <w:rPr>
                <w:rFonts w:ascii="Times New Roman" w:hAnsi="Times New Roman" w:cs="Times New Roman"/>
              </w:rPr>
              <w:t xml:space="preserve"> is given by the higher-layer parameter </w:t>
            </w:r>
            <w:r>
              <w:rPr>
                <w:rFonts w:ascii="Times New Roman" w:hAnsi="Times New Roman" w:cs="Times New Roman"/>
                <w:i/>
              </w:rPr>
              <w:t>frequencyDomainResources</w:t>
            </w:r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symb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CORESET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p>
              </m:sSubSup>
            </m:oMath>
            <w:r>
              <w:rPr>
                <w:rFonts w:ascii="Times New Roman" w:hAnsi="Times New Roman" w:cs="Times New Roman"/>
              </w:rPr>
              <w:t xml:space="preserve"> is given by the higher-layer parameter </w:t>
            </w:r>
            <w:r>
              <w:rPr>
                <w:rFonts w:ascii="Times New Roman" w:hAnsi="Times New Roman" w:cs="Times New Roman"/>
                <w:i/>
              </w:rPr>
              <w:t>duration</w:t>
            </w:r>
            <w:r>
              <w:rPr>
                <w:rFonts w:ascii="Times New Roman" w:hAnsi="Times New Roman" w:cs="Times New Roman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symb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CORESET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 w:cs="Times New Roman"/>
                </w:rPr>
                <m:t>=3</m:t>
              </m:r>
            </m:oMath>
            <w:r>
              <w:rPr>
                <w:rFonts w:ascii="Times New Roman" w:hAnsi="Times New Roman" w:cs="Times New Roman"/>
              </w:rPr>
              <w:t xml:space="preserve"> is supported only if the higher-layer parameter </w:t>
            </w:r>
            <w:r>
              <w:rPr>
                <w:rFonts w:ascii="Times New Roman" w:hAnsi="Times New Roman" w:cs="Times New Roman"/>
                <w:i/>
              </w:rPr>
              <w:t>dmrs-TypeA-Position</w:t>
            </w:r>
            <w:r>
              <w:rPr>
                <w:rFonts w:ascii="Times New Roman" w:hAnsi="Times New Roman" w:cs="Times New Roman"/>
              </w:rPr>
              <w:t xml:space="preserve"> equals 3;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interleaved or non-interleaved mapping is given by the higher-layer parameter </w:t>
            </w:r>
            <w:r>
              <w:rPr>
                <w:rFonts w:ascii="Times New Roman" w:hAnsi="Times New Roman" w:cs="Times New Roman"/>
                <w:i/>
              </w:rPr>
              <w:t>cce-REG-MappingType</w:t>
            </w:r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r>
                <m:rPr/>
                <w:rPr>
                  <w:rFonts w:ascii="Cambria Math" w:hAnsi="Cambria Math" w:cs="Times New Roman"/>
                </w:rPr>
                <m:t>L</m:t>
              </m:r>
            </m:oMath>
            <w:r>
              <w:rPr>
                <w:rFonts w:ascii="Times New Roman" w:hAnsi="Times New Roman" w:cs="Times New Roman"/>
              </w:rPr>
              <w:t xml:space="preserve"> equals 6 for non-interleaved mapping and is given by the higher-layer parameter </w:t>
            </w:r>
            <w:r>
              <w:rPr>
                <w:rFonts w:ascii="Times New Roman" w:hAnsi="Times New Roman" w:cs="Times New Roman"/>
                <w:i/>
              </w:rPr>
              <w:t>reg-BundleSize</w:t>
            </w:r>
            <w:r>
              <w:rPr>
                <w:rFonts w:ascii="Times New Roman" w:hAnsi="Times New Roman" w:cs="Times New Roman"/>
              </w:rPr>
              <w:t xml:space="preserve"> for interleaved mapping;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r>
                <m:rPr/>
                <w:rPr>
                  <w:rFonts w:ascii="Cambria Math" w:hAnsi="Cambria Math" w:cs="Times New Roman"/>
                </w:rPr>
                <m:t>R</m:t>
              </m:r>
            </m:oMath>
            <w:r>
              <w:rPr>
                <w:rFonts w:ascii="Times New Roman" w:hAnsi="Times New Roman" w:cs="Times New Roman"/>
              </w:rPr>
              <w:t xml:space="preserve"> is given by the higher-layer parameter </w:t>
            </w:r>
            <w:r>
              <w:rPr>
                <w:rFonts w:ascii="Times New Roman" w:hAnsi="Times New Roman" w:cs="Times New Roman"/>
                <w:i/>
              </w:rPr>
              <w:t>interleaverSize</w:t>
            </w:r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shift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 w:cs="Times New Roman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 w:cs="Times New Roman"/>
                    </w:rPr>
                    <m:t>0,1,…,274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 xml:space="preserve"> is given by the higher-layer parameter </w:t>
            </w:r>
            <w:r>
              <w:rPr>
                <w:rFonts w:ascii="Times New Roman" w:hAnsi="Times New Roman" w:cs="Times New Roman"/>
                <w:i/>
              </w:rPr>
              <w:t>shiftIndex</w:t>
            </w:r>
            <w:r>
              <w:rPr>
                <w:rFonts w:ascii="Times New Roman" w:hAnsi="Times New Roman" w:cs="Times New Roman"/>
              </w:rPr>
              <w:t xml:space="preserve"> if provided, otherwise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shift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 w:cs="Times New Roman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ID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cell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p>
              </m:sSubSup>
            </m:oMath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for both interleaved and non-interleaved mapping: </w:t>
            </w:r>
          </w:p>
          <w:p>
            <w:pPr>
              <w:pStyle w:val="88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if the higher-layer parameter </w:t>
            </w:r>
            <w:r>
              <w:rPr>
                <w:rFonts w:ascii="Times New Roman" w:hAnsi="Times New Roman" w:cs="Times New Roman"/>
                <w:i/>
              </w:rPr>
              <w:t xml:space="preserve">precoderGranularity </w:t>
            </w:r>
            <w:r>
              <w:rPr>
                <w:rFonts w:ascii="Times New Roman" w:hAnsi="Times New Roman" w:cs="Times New Roman"/>
              </w:rPr>
              <w:t xml:space="preserve">equals </w:t>
            </w:r>
            <w:r>
              <w:rPr>
                <w:rFonts w:ascii="Times New Roman" w:hAnsi="Times New Roman" w:cs="Times New Roman"/>
                <w:i/>
              </w:rPr>
              <w:t xml:space="preserve">sameAsREG-bundle </w:t>
            </w:r>
            <w:r>
              <w:rPr>
                <w:rFonts w:ascii="Times New Roman" w:hAnsi="Times New Roman" w:cs="Times New Roman"/>
              </w:rPr>
              <w:t xml:space="preserve">the UE may assume the same precoding being used within a REG bundle </w:t>
            </w:r>
          </w:p>
          <w:p>
            <w:pPr>
              <w:pStyle w:val="88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if the higher-layer parameter </w:t>
            </w:r>
            <w:r>
              <w:rPr>
                <w:rFonts w:ascii="Times New Roman" w:hAnsi="Times New Roman" w:cs="Times New Roman"/>
                <w:i/>
              </w:rPr>
              <w:t xml:space="preserve">precoderGranularity </w:t>
            </w:r>
            <w:r>
              <w:rPr>
                <w:rFonts w:ascii="Times New Roman" w:hAnsi="Times New Roman" w:cs="Times New Roman"/>
              </w:rPr>
              <w:t xml:space="preserve">equals </w:t>
            </w:r>
            <w:r>
              <w:rPr>
                <w:rFonts w:ascii="Times New Roman" w:hAnsi="Times New Roman" w:cs="Times New Roman"/>
                <w:i/>
              </w:rPr>
              <w:t>allContiguousRBs</w:t>
            </w:r>
            <w:r>
              <w:rPr>
                <w:rFonts w:ascii="Times New Roman" w:hAnsi="Times New Roman" w:cs="Times New Roman"/>
              </w:rPr>
              <w:t xml:space="preserve"> , </w:t>
            </w:r>
          </w:p>
          <w:p>
            <w:pPr>
              <w:pStyle w:val="89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the UE may assume the same precoding being used across the all resource-element groups </w:t>
            </w:r>
            <w:bookmarkStart w:id="10" w:name="_Hlk498503446"/>
            <w:r>
              <w:rPr>
                <w:rFonts w:ascii="Times New Roman" w:hAnsi="Times New Roman" w:cs="Times New Roman"/>
              </w:rPr>
              <w:t>within the set of contiguous resource blocks in the</w:t>
            </w:r>
            <w:bookmarkEnd w:id="10"/>
            <w:r>
              <w:rPr>
                <w:rFonts w:ascii="Times New Roman" w:hAnsi="Times New Roman" w:cs="Times New Roman"/>
              </w:rPr>
              <w:t xml:space="preserve"> CORESET</w:t>
            </w:r>
          </w:p>
          <w:p>
            <w:pPr>
              <w:pStyle w:val="89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the UE may assume that no resource elements in the CORESET overlap with an SSB</w:t>
            </w:r>
          </w:p>
          <w:p>
            <w:pPr>
              <w:pStyle w:val="89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highlight w:val="cyan"/>
              </w:rPr>
              <w:t xml:space="preserve">if the UE is not provided with the higher-layer parameter </w:t>
            </w:r>
            <w:r>
              <w:rPr>
                <w:rFonts w:ascii="Times New Roman" w:hAnsi="Times New Roman" w:cs="Times New Roman"/>
                <w:i/>
                <w:iCs/>
                <w:highlight w:val="cyan"/>
              </w:rPr>
              <w:t>pdcchCandidateReception-WithCRSOverlap</w:t>
            </w:r>
            <w:r>
              <w:rPr>
                <w:rFonts w:ascii="Times New Roman" w:hAnsi="Times New Roman" w:cs="Times New Roman"/>
                <w:highlight w:val="cyan"/>
              </w:rPr>
              <w:t xml:space="preserve">, the UE may assume that no resource elements in the CORESET overlap with  LTE cell-specific reference signals as indicated by the higher-layer parameter </w:t>
            </w:r>
            <w:r>
              <w:rPr>
                <w:rFonts w:ascii="Times New Roman" w:hAnsi="Times New Roman" w:cs="Times New Roman"/>
                <w:i/>
                <w:highlight w:val="cyan"/>
              </w:rPr>
              <w:t>lte-CRS-ToMatchAround</w:t>
            </w:r>
            <w:r>
              <w:rPr>
                <w:rFonts w:ascii="Times New Roman" w:hAnsi="Times New Roman" w:cs="Times New Roman"/>
                <w:iCs/>
                <w:highlight w:val="cy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highlight w:val="cyan"/>
              </w:rPr>
              <w:t>lte-CRS-PatternList1</w:t>
            </w:r>
            <w:r>
              <w:rPr>
                <w:rFonts w:ascii="Times New Roman" w:hAnsi="Times New Roman" w:cs="Times New Roman"/>
                <w:iCs/>
                <w:highlight w:val="cyan"/>
              </w:rPr>
              <w:t>,</w:t>
            </w:r>
            <w:r>
              <w:rPr>
                <w:rFonts w:ascii="Times New Roman" w:hAnsi="Times New Roman" w:cs="Times New Roman"/>
                <w:highlight w:val="cyan"/>
              </w:rPr>
              <w:t xml:space="preserve"> or </w:t>
            </w:r>
            <w:r>
              <w:rPr>
                <w:rFonts w:ascii="Times New Roman" w:hAnsi="Times New Roman" w:cs="Times New Roman"/>
                <w:i/>
                <w:highlight w:val="cyan"/>
              </w:rPr>
              <w:t>lte-CRS-PatternList2</w:t>
            </w:r>
            <w:r>
              <w:rPr>
                <w:rFonts w:ascii="Times New Roman" w:hAnsi="Times New Roman" w:cs="Times New Roman"/>
                <w:highlight w:val="cyan"/>
              </w:rPr>
              <w:t>.</w:t>
            </w:r>
          </w:p>
          <w:p>
            <w:pPr>
              <w:numPr>
                <w:ilvl w:val="3"/>
                <w:numId w:val="0"/>
              </w:numPr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</w:tr>
    </w:tbl>
    <w:p>
      <w:pPr>
        <w:numPr>
          <w:ilvl w:val="3"/>
          <w:numId w:val="0"/>
        </w:numPr>
        <w:snapToGrid w:val="0"/>
        <w:spacing w:before="120" w:after="120" w:afterLines="50"/>
      </w:pPr>
      <w:r>
        <w:rPr>
          <w:rFonts w:hint="eastAsia"/>
        </w:rPr>
        <w:t>While, LTE CRS from</w:t>
      </w:r>
      <w:r>
        <w:rPr>
          <w:iCs/>
        </w:rPr>
        <w:t xml:space="preserve"> </w:t>
      </w:r>
      <w:r>
        <w:rPr>
          <w:i/>
        </w:rPr>
        <w:t>lte-CRS-PatternList</w:t>
      </w:r>
      <w:r>
        <w:rPr>
          <w:rFonts w:hint="eastAsia"/>
          <w:i/>
        </w:rPr>
        <w:t>3</w:t>
      </w:r>
      <w:r>
        <w:rPr>
          <w:rFonts w:hint="eastAsia"/>
        </w:rPr>
        <w:t xml:space="preserve"> should be also considered based on the component 1) of FG52-1a. Otherwise, </w:t>
      </w:r>
      <w:r>
        <w:rPr>
          <w:rFonts w:hint="eastAsia" w:cs="Times New Roman"/>
        </w:rPr>
        <w:t xml:space="preserve">UE may assume REs in the CORESET could </w:t>
      </w:r>
      <w:r>
        <w:rPr>
          <w:rFonts w:hint="eastAsia" w:eastAsia="宋体" w:cs="Times New Roman"/>
        </w:rPr>
        <w:t xml:space="preserve">be </w:t>
      </w:r>
      <w:r>
        <w:rPr>
          <w:rFonts w:hint="eastAsia" w:cs="Times New Roman"/>
        </w:rPr>
        <w:t>overlapp</w:t>
      </w:r>
      <w:r>
        <w:rPr>
          <w:rFonts w:hint="eastAsia" w:eastAsia="宋体" w:cs="Times New Roman"/>
        </w:rPr>
        <w:t>ed</w:t>
      </w:r>
      <w:r>
        <w:rPr>
          <w:rFonts w:hint="eastAsia" w:cs="Times New Roman"/>
        </w:rPr>
        <w:t xml:space="preserve"> with REs from </w:t>
      </w:r>
      <w:r>
        <w:rPr>
          <w:rFonts w:hint="eastAsia" w:cs="Times New Roman"/>
          <w:i/>
          <w:iCs/>
        </w:rPr>
        <w:t>lte-CRS-PatternList3</w:t>
      </w:r>
      <w:r>
        <w:rPr>
          <w:rFonts w:cs="Times New Roman"/>
          <w:i/>
          <w:iCs/>
        </w:rPr>
        <w:t xml:space="preserve"> </w:t>
      </w:r>
      <w:r>
        <w:rPr>
          <w:rFonts w:cs="Times New Roman"/>
          <w:iCs/>
        </w:rPr>
        <w:t>if</w:t>
      </w:r>
      <w:r>
        <w:rPr>
          <w:rFonts w:cs="Times New Roman"/>
          <w:i/>
          <w:iCs/>
        </w:rPr>
        <w:t xml:space="preserve"> </w:t>
      </w:r>
      <w:r>
        <w:rPr>
          <w:rFonts w:cs="Times New Roman"/>
        </w:rPr>
        <w:t xml:space="preserve">the UE is not provided with the higher-layer parameter </w:t>
      </w:r>
      <w:r>
        <w:rPr>
          <w:rFonts w:cs="Times New Roman"/>
          <w:i/>
          <w:iCs/>
        </w:rPr>
        <w:t>pdcchCandidateReception-WithCRSOverlap</w:t>
      </w:r>
      <w:r>
        <w:rPr>
          <w:rFonts w:hint="eastAsia" w:cs="Times New Roman"/>
        </w:rPr>
        <w:t>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3070"/>
        <w:gridCol w:w="6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spacing w:before="12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lang w:eastAsia="ja-JP"/>
              </w:rPr>
              <w:t>52-1a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spacing w:before="120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Reception of NR PDCCH candidates overlapping with LTE CRS REs with multiple non-overlapping CRS rate matching patterns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/>
            </w:pPr>
            <w:r>
              <w:rPr>
                <w:rFonts w:hint="eastAsia" w:eastAsia="宋体" w:cs="Times New Roman"/>
              </w:rPr>
              <w:t>1) Reception of NR PDCCH candidates in REs that overlap with LTE CRS when UE is provided with LTE CRS RM patterns by configuration of one or multiple non-overlapping CRS rate matching patterns via lte-CRS-PatternList1-r16 if the UE supports FG 14-1 or lte-CRS-PatternList3-r18 if the UE supports FG 52-2</w:t>
            </w:r>
          </w:p>
        </w:tc>
      </w:tr>
    </w:tbl>
    <w:p>
      <w:pPr>
        <w:numPr>
          <w:ilvl w:val="3"/>
          <w:numId w:val="0"/>
        </w:numPr>
        <w:spacing w:before="120"/>
        <w:rPr>
          <w:rFonts w:eastAsiaTheme="minorEastAsia"/>
        </w:rPr>
      </w:pPr>
      <w:r>
        <w:rPr>
          <w:rFonts w:hint="eastAsia"/>
        </w:rPr>
        <w:t xml:space="preserve">As a result, the following TP is proposed to address the above issue, which is also aligned with the description in TS 38.213. </w:t>
      </w:r>
    </w:p>
    <w:p>
      <w:pPr>
        <w:pStyle w:val="114"/>
        <w:numPr>
          <w:ilvl w:val="0"/>
          <w:numId w:val="0"/>
        </w:numPr>
        <w:spacing w:before="120"/>
        <w:rPr>
          <w:i/>
          <w:iCs/>
          <w:lang w:val="en-US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/>
        </w:rPr>
        <w:t>1</w:t>
      </w:r>
      <w:r>
        <w:rPr>
          <w:i/>
          <w:iCs/>
        </w:rPr>
        <w:t xml:space="preserve">: </w:t>
      </w:r>
      <w:r>
        <w:rPr>
          <w:rFonts w:hint="eastAsia"/>
          <w:i/>
          <w:iCs/>
          <w:lang w:val="en-US"/>
        </w:rPr>
        <w:t>Adopt the following TP for sub-clause 7.3.2.2 in TS38.211.</w:t>
      </w:r>
    </w:p>
    <w:tbl>
      <w:tblPr>
        <w:tblStyle w:val="51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5"/>
              <w:numPr>
                <w:ilvl w:val="3"/>
                <w:numId w:val="0"/>
              </w:numPr>
              <w:spacing w:line="280" w:lineRule="atLeast"/>
              <w:jc w:val="both"/>
              <w:outlineLvl w:val="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 w:val="20"/>
                <w:lang w:val="en-US" w:eastAsia="zh-CN"/>
              </w:rPr>
              <w:t xml:space="preserve">Reason for change: 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>To complete the list of potential LTE CRS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>which may be overlapped with NR PDCCH.</w:t>
            </w:r>
          </w:p>
          <w:p>
            <w:pPr>
              <w:pStyle w:val="5"/>
              <w:numPr>
                <w:ilvl w:val="3"/>
                <w:numId w:val="0"/>
              </w:numPr>
              <w:spacing w:line="280" w:lineRule="atLeast"/>
              <w:jc w:val="both"/>
              <w:outlineLvl w:val="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 w:val="20"/>
                <w:lang w:val="en-US" w:eastAsia="zh-CN"/>
              </w:rPr>
              <w:t>Summary of change: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 xml:space="preserve"> Using </w:t>
            </w:r>
            <w:r>
              <w:rPr>
                <w:rFonts w:hint="eastAsia" w:ascii="Times New Roman" w:hAnsi="Times New Roman"/>
                <w:i/>
                <w:iCs/>
                <w:sz w:val="20"/>
                <w:lang w:val="en-US" w:eastAsia="zh-CN"/>
              </w:rPr>
              <w:t>lte-CRS-PatternList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 xml:space="preserve"> to represent all potential lists.</w:t>
            </w:r>
          </w:p>
          <w:p>
            <w:pPr>
              <w:pStyle w:val="5"/>
              <w:numPr>
                <w:ilvl w:val="3"/>
                <w:numId w:val="0"/>
              </w:numPr>
              <w:spacing w:line="280" w:lineRule="atLeast"/>
              <w:jc w:val="both"/>
              <w:outlineLvl w:val="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 w:val="20"/>
                <w:lang w:val="en-US" w:eastAsia="zh-CN"/>
              </w:rPr>
              <w:t xml:space="preserve">Consequences if not approved: 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 xml:space="preserve">UE may assume REs in the CORESET could overlapped with REs from </w:t>
            </w:r>
            <w:r>
              <w:rPr>
                <w:rFonts w:hint="eastAsia" w:ascii="Times New Roman" w:hAnsi="Times New Roman"/>
                <w:i/>
                <w:iCs/>
                <w:sz w:val="20"/>
                <w:lang w:val="en-US" w:eastAsia="zh-CN"/>
              </w:rPr>
              <w:t>lte-CRS-PatternList3</w:t>
            </w:r>
            <w:r>
              <w:rPr>
                <w:rFonts w:ascii="Times New Roman" w:hAnsi="Times New Roman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lang w:val="en-US" w:eastAsia="zh-CN"/>
              </w:rPr>
              <w:t xml:space="preserve">if </w:t>
            </w:r>
            <w:r>
              <w:rPr>
                <w:rFonts w:ascii="Times New Roman" w:hAnsi="Times New Roman"/>
                <w:sz w:val="20"/>
              </w:rPr>
              <w:t xml:space="preserve">the UE is not provided with the higher-layer parameter </w:t>
            </w:r>
            <w:r>
              <w:rPr>
                <w:rFonts w:ascii="Times New Roman" w:hAnsi="Times New Roman"/>
                <w:i/>
                <w:iCs/>
                <w:sz w:val="20"/>
              </w:rPr>
              <w:t>pdcchCandidateReception-WithCRSOverlap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>.</w:t>
            </w:r>
          </w:p>
          <w:p>
            <w:pPr>
              <w:pStyle w:val="5"/>
              <w:numPr>
                <w:ilvl w:val="3"/>
                <w:numId w:val="0"/>
              </w:numPr>
              <w:spacing w:line="280" w:lineRule="atLeast"/>
              <w:jc w:val="both"/>
              <w:outlineLvl w:val="3"/>
            </w:pPr>
            <w:r>
              <w:t>7.3.2.2</w:t>
            </w:r>
            <w:r>
              <w:tab/>
            </w:r>
            <w:r>
              <w:t>Control-resource set (CORESET)</w:t>
            </w:r>
          </w:p>
          <w:p>
            <w:pPr>
              <w:spacing w:before="120" w:line="280" w:lineRule="atLeast"/>
              <w:jc w:val="center"/>
              <w:rPr>
                <w:rFonts w:ascii="New York" w:hAnsi="New York"/>
              </w:rPr>
            </w:pPr>
            <w:r>
              <w:rPr>
                <w:rFonts w:hint="eastAsia" w:ascii="Times New Roman" w:hAnsi="Times New Roman" w:cs="Times New Roman"/>
              </w:rPr>
              <w:t>&lt;Unchanged parts are omitted&gt;</w:t>
            </w:r>
          </w:p>
          <w:p>
            <w:pPr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 a CORESET configured by the </w:t>
            </w:r>
            <w:r>
              <w:rPr>
                <w:rFonts w:ascii="Times New Roman" w:hAnsi="Times New Roman" w:cs="Times New Roman"/>
                <w:i/>
              </w:rPr>
              <w:t>ControlResourceSet</w:t>
            </w:r>
            <w:r>
              <w:rPr>
                <w:rFonts w:ascii="Times New Roman" w:hAnsi="Times New Roman" w:cs="Times New Roman"/>
              </w:rPr>
              <w:t xml:space="preserve"> IE: 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RB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CORESET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p>
              </m:sSubSup>
            </m:oMath>
            <w:r>
              <w:rPr>
                <w:rFonts w:ascii="Times New Roman" w:hAnsi="Times New Roman" w:cs="Times New Roman"/>
              </w:rPr>
              <w:t xml:space="preserve"> is given by the higher-layer parameter </w:t>
            </w:r>
            <w:r>
              <w:rPr>
                <w:rFonts w:ascii="Times New Roman" w:hAnsi="Times New Roman" w:cs="Times New Roman"/>
                <w:i/>
              </w:rPr>
              <w:t>frequencyDomainResources</w:t>
            </w:r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symb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CORESET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p>
              </m:sSubSup>
            </m:oMath>
            <w:r>
              <w:rPr>
                <w:rFonts w:ascii="Times New Roman" w:hAnsi="Times New Roman" w:cs="Times New Roman"/>
              </w:rPr>
              <w:t xml:space="preserve"> is given by the higher-layer parameter </w:t>
            </w:r>
            <w:r>
              <w:rPr>
                <w:rFonts w:ascii="Times New Roman" w:hAnsi="Times New Roman" w:cs="Times New Roman"/>
                <w:i/>
              </w:rPr>
              <w:t>duration</w:t>
            </w:r>
            <w:r>
              <w:rPr>
                <w:rFonts w:ascii="Times New Roman" w:hAnsi="Times New Roman" w:cs="Times New Roman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symb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CORESET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 w:cs="Times New Roman"/>
                </w:rPr>
                <m:t>=3</m:t>
              </m:r>
            </m:oMath>
            <w:r>
              <w:rPr>
                <w:rFonts w:ascii="Times New Roman" w:hAnsi="Times New Roman" w:cs="Times New Roman"/>
              </w:rPr>
              <w:t xml:space="preserve"> is supported only if the higher-layer parameter </w:t>
            </w:r>
            <w:r>
              <w:rPr>
                <w:rFonts w:ascii="Times New Roman" w:hAnsi="Times New Roman" w:cs="Times New Roman"/>
                <w:i/>
              </w:rPr>
              <w:t>dmrs-TypeA-Position</w:t>
            </w:r>
            <w:r>
              <w:rPr>
                <w:rFonts w:ascii="Times New Roman" w:hAnsi="Times New Roman" w:cs="Times New Roman"/>
              </w:rPr>
              <w:t xml:space="preserve"> equals 3;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interleaved or non-interleaved mapping is given by the higher-layer parameter </w:t>
            </w:r>
            <w:r>
              <w:rPr>
                <w:rFonts w:ascii="Times New Roman" w:hAnsi="Times New Roman" w:cs="Times New Roman"/>
                <w:i/>
              </w:rPr>
              <w:t>cce-REG-MappingType</w:t>
            </w:r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r>
                <m:rPr/>
                <w:rPr>
                  <w:rFonts w:ascii="Cambria Math" w:hAnsi="Cambria Math" w:cs="Times New Roman"/>
                </w:rPr>
                <m:t>L</m:t>
              </m:r>
            </m:oMath>
            <w:r>
              <w:rPr>
                <w:rFonts w:ascii="Times New Roman" w:hAnsi="Times New Roman" w:cs="Times New Roman"/>
              </w:rPr>
              <w:t xml:space="preserve"> equals 6 for non-interleaved mapping and is given by the higher-layer parameter </w:t>
            </w:r>
            <w:r>
              <w:rPr>
                <w:rFonts w:ascii="Times New Roman" w:hAnsi="Times New Roman" w:cs="Times New Roman"/>
                <w:i/>
              </w:rPr>
              <w:t>reg-BundleSize</w:t>
            </w:r>
            <w:r>
              <w:rPr>
                <w:rFonts w:ascii="Times New Roman" w:hAnsi="Times New Roman" w:cs="Times New Roman"/>
              </w:rPr>
              <w:t xml:space="preserve"> for interleaved mapping;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r>
                <m:rPr/>
                <w:rPr>
                  <w:rFonts w:ascii="Cambria Math" w:hAnsi="Cambria Math" w:cs="Times New Roman"/>
                </w:rPr>
                <m:t>R</m:t>
              </m:r>
            </m:oMath>
            <w:r>
              <w:rPr>
                <w:rFonts w:ascii="Times New Roman" w:hAnsi="Times New Roman" w:cs="Times New Roman"/>
              </w:rPr>
              <w:t xml:space="preserve"> is given by the higher-layer parameter </w:t>
            </w:r>
            <w:r>
              <w:rPr>
                <w:rFonts w:ascii="Times New Roman" w:hAnsi="Times New Roman" w:cs="Times New Roman"/>
                <w:i/>
              </w:rPr>
              <w:t>interleaverSize</w:t>
            </w:r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shift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 w:cs="Times New Roman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 w:cs="Times New Roman"/>
                    </w:rPr>
                    <m:t>0,1,…,274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 xml:space="preserve"> is given by the higher-layer parameter </w:t>
            </w:r>
            <w:r>
              <w:rPr>
                <w:rFonts w:ascii="Times New Roman" w:hAnsi="Times New Roman" w:cs="Times New Roman"/>
                <w:i/>
              </w:rPr>
              <w:t>shiftIndex</w:t>
            </w:r>
            <w:r>
              <w:rPr>
                <w:rFonts w:ascii="Times New Roman" w:hAnsi="Times New Roman" w:cs="Times New Roman"/>
              </w:rPr>
              <w:t xml:space="preserve"> if provided, otherwise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shift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 w:cs="Times New Roman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ID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cell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p>
              </m:sSubSup>
            </m:oMath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for both interleaved and non-interleaved mapping: </w:t>
            </w:r>
          </w:p>
          <w:p>
            <w:pPr>
              <w:pStyle w:val="88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if the higher-layer parameter </w:t>
            </w:r>
            <w:r>
              <w:rPr>
                <w:rFonts w:ascii="Times New Roman" w:hAnsi="Times New Roman" w:cs="Times New Roman"/>
                <w:i/>
              </w:rPr>
              <w:t xml:space="preserve">precoderGranularity </w:t>
            </w:r>
            <w:r>
              <w:rPr>
                <w:rFonts w:ascii="Times New Roman" w:hAnsi="Times New Roman" w:cs="Times New Roman"/>
              </w:rPr>
              <w:t xml:space="preserve">equals </w:t>
            </w:r>
            <w:r>
              <w:rPr>
                <w:rFonts w:ascii="Times New Roman" w:hAnsi="Times New Roman" w:cs="Times New Roman"/>
                <w:i/>
              </w:rPr>
              <w:t xml:space="preserve">sameAsREG-bundle </w:t>
            </w:r>
            <w:r>
              <w:rPr>
                <w:rFonts w:ascii="Times New Roman" w:hAnsi="Times New Roman" w:cs="Times New Roman"/>
              </w:rPr>
              <w:t xml:space="preserve">the UE may assume the same precoding being used within a REG bundle </w:t>
            </w:r>
          </w:p>
          <w:p>
            <w:pPr>
              <w:pStyle w:val="88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if the higher-layer parameter </w:t>
            </w:r>
            <w:r>
              <w:rPr>
                <w:rFonts w:ascii="Times New Roman" w:hAnsi="Times New Roman" w:cs="Times New Roman"/>
                <w:i/>
              </w:rPr>
              <w:t xml:space="preserve">precoderGranularity </w:t>
            </w:r>
            <w:r>
              <w:rPr>
                <w:rFonts w:ascii="Times New Roman" w:hAnsi="Times New Roman" w:cs="Times New Roman"/>
              </w:rPr>
              <w:t xml:space="preserve">equals </w:t>
            </w:r>
            <w:r>
              <w:rPr>
                <w:rFonts w:ascii="Times New Roman" w:hAnsi="Times New Roman" w:cs="Times New Roman"/>
                <w:i/>
              </w:rPr>
              <w:t>allContiguousRBs</w:t>
            </w:r>
            <w:r>
              <w:rPr>
                <w:rFonts w:ascii="Times New Roman" w:hAnsi="Times New Roman" w:cs="Times New Roman"/>
              </w:rPr>
              <w:t xml:space="preserve"> , </w:t>
            </w:r>
          </w:p>
          <w:p>
            <w:pPr>
              <w:pStyle w:val="89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the UE may assume the same precoding being used across the all resource-element groups within the set of contiguous resource blocks in the CORESET</w:t>
            </w:r>
          </w:p>
          <w:p>
            <w:pPr>
              <w:pStyle w:val="89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the UE may assume that no resource elements in the CORESET overlap with an SSB</w:t>
            </w:r>
          </w:p>
          <w:p>
            <w:pPr>
              <w:pStyle w:val="89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if the UE is not provided with the higher-layer parameter </w:t>
            </w:r>
            <w:r>
              <w:rPr>
                <w:rFonts w:ascii="Times New Roman" w:hAnsi="Times New Roman" w:cs="Times New Roman"/>
                <w:i/>
                <w:iCs/>
              </w:rPr>
              <w:t>pdcchCandidateReception-WithCRSOverlap</w:t>
            </w:r>
            <w:r>
              <w:rPr>
                <w:rFonts w:ascii="Times New Roman" w:hAnsi="Times New Roman" w:cs="Times New Roman"/>
              </w:rPr>
              <w:t xml:space="preserve">, the UE may assume that no resource elements in the CORESET overlap with  LTE cell-specific reference signals as indicated by the higher-layer parameter </w:t>
            </w:r>
            <w:r>
              <w:rPr>
                <w:rFonts w:ascii="Times New Roman" w:hAnsi="Times New Roman" w:cs="Times New Roman"/>
                <w:i/>
              </w:rPr>
              <w:t xml:space="preserve">lte-CRS-ToMatchAround 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or </w:t>
            </w:r>
            <w:r>
              <w:rPr>
                <w:rFonts w:ascii="Times New Roman" w:hAnsi="Times New Roman" w:cs="Times New Roman"/>
                <w:i/>
                <w:color w:val="FF0000"/>
                <w:u w:val="single"/>
              </w:rPr>
              <w:t>lte-CRS-PatternList</w:t>
            </w:r>
            <w:r>
              <w:rPr>
                <w:rFonts w:ascii="Times New Roman" w:hAnsi="Times New Roman" w:cs="Times New Roman"/>
                <w:iCs/>
                <w:strike/>
                <w:color w:val="FF0000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trike/>
                <w:color w:val="FF0000"/>
              </w:rPr>
              <w:t>lte-CRS-PatternList1</w:t>
            </w:r>
            <w:r>
              <w:rPr>
                <w:rFonts w:ascii="Times New Roman" w:hAnsi="Times New Roman" w:cs="Times New Roman"/>
                <w:iCs/>
                <w:strike/>
                <w:color w:val="FF0000"/>
              </w:rPr>
              <w:t>,</w:t>
            </w:r>
            <w:r>
              <w:rPr>
                <w:rFonts w:ascii="Times New Roman" w:hAnsi="Times New Roman" w:cs="Times New Roman"/>
                <w:strike/>
                <w:color w:val="FF0000"/>
              </w:rPr>
              <w:t xml:space="preserve"> or </w:t>
            </w:r>
            <w:r>
              <w:rPr>
                <w:rFonts w:ascii="Times New Roman" w:hAnsi="Times New Roman" w:cs="Times New Roman"/>
                <w:i/>
                <w:strike/>
                <w:color w:val="FF0000"/>
              </w:rPr>
              <w:t>lte-CRS-PatternList2</w:t>
            </w:r>
            <w:r>
              <w:rPr>
                <w:rFonts w:ascii="Times New Roman" w:hAnsi="Times New Roman" w:cs="Times New Roman"/>
              </w:rPr>
              <w:t>.</w:t>
            </w:r>
          </w:p>
          <w:p>
            <w:pPr>
              <w:numPr>
                <w:ilvl w:val="3"/>
                <w:numId w:val="0"/>
              </w:numPr>
              <w:spacing w:before="120" w:line="280" w:lineRule="atLeast"/>
              <w:jc w:val="center"/>
              <w:rPr>
                <w:rFonts w:ascii="New York" w:hAnsi="New York"/>
              </w:rPr>
            </w:pPr>
            <w:r>
              <w:rPr>
                <w:rFonts w:ascii="Times New Roman" w:hAnsi="Times New Roman" w:cs="Times New Roman"/>
              </w:rPr>
              <w:t>&lt;Unchanged parts are omitted&gt;</w:t>
            </w:r>
          </w:p>
        </w:tc>
      </w:tr>
    </w:tbl>
    <w:p>
      <w:pPr>
        <w:pStyle w:val="114"/>
        <w:numPr>
          <w:ilvl w:val="0"/>
          <w:numId w:val="0"/>
        </w:numPr>
        <w:spacing w:before="120"/>
        <w:rPr>
          <w:i/>
          <w:iCs/>
        </w:rPr>
      </w:pPr>
    </w:p>
    <w:p>
      <w:pPr>
        <w:spacing w:before="120"/>
      </w:pPr>
    </w:p>
    <w:p>
      <w:pPr>
        <w:pStyle w:val="2"/>
        <w:rPr>
          <w:lang w:val="en-US" w:eastAsia="zh-CN"/>
        </w:rPr>
      </w:pPr>
      <w:r>
        <w:rPr>
          <w:lang w:val="en-US" w:eastAsia="zh-CN"/>
        </w:rPr>
        <w:t>Conclusion</w:t>
      </w:r>
    </w:p>
    <w:p>
      <w:pPr>
        <w:spacing w:before="120"/>
      </w:pPr>
      <w:r>
        <w:t xml:space="preserve">In this contribution, </w:t>
      </w:r>
      <w:r>
        <w:rPr>
          <w:rFonts w:hint="eastAsia"/>
        </w:rPr>
        <w:t>the remaining issue</w:t>
      </w:r>
      <w:r>
        <w:t xml:space="preserve"> </w:t>
      </w:r>
      <w:r>
        <w:rPr>
          <w:rFonts w:hint="eastAsia"/>
        </w:rPr>
        <w:t xml:space="preserve">on </w:t>
      </w:r>
      <w:r>
        <w:rPr>
          <w:rFonts w:hint="eastAsia"/>
          <w:iCs/>
        </w:rPr>
        <w:t xml:space="preserve">PDCCH </w:t>
      </w:r>
      <w:r>
        <w:rPr>
          <w:lang w:eastAsia="ja-JP"/>
        </w:rPr>
        <w:t>reception in symbols with LTE CRS REs</w:t>
      </w:r>
      <w:r>
        <w:t xml:space="preserve"> </w:t>
      </w:r>
      <w:r>
        <w:rPr>
          <w:rFonts w:hint="eastAsia" w:eastAsia="宋体"/>
        </w:rPr>
        <w:t>is</w:t>
      </w:r>
      <w:r>
        <w:t xml:space="preserve"> provided with the following proposal.</w:t>
      </w:r>
    </w:p>
    <w:p>
      <w:pPr>
        <w:pStyle w:val="114"/>
        <w:numPr>
          <w:ilvl w:val="0"/>
          <w:numId w:val="0"/>
        </w:numPr>
        <w:spacing w:before="120"/>
        <w:rPr>
          <w:i/>
          <w:iCs/>
          <w:lang w:val="en-US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/>
        </w:rPr>
        <w:t>1</w:t>
      </w:r>
      <w:r>
        <w:rPr>
          <w:i/>
          <w:iCs/>
        </w:rPr>
        <w:t xml:space="preserve">: </w:t>
      </w:r>
      <w:r>
        <w:rPr>
          <w:rFonts w:hint="eastAsia"/>
          <w:i/>
          <w:iCs/>
          <w:lang w:val="en-US"/>
        </w:rPr>
        <w:t>Adopt the following TP for sub-clause 7.3.2.2 in TS38.211.</w:t>
      </w:r>
    </w:p>
    <w:tbl>
      <w:tblPr>
        <w:tblStyle w:val="51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5"/>
              <w:numPr>
                <w:ilvl w:val="3"/>
                <w:numId w:val="0"/>
              </w:numPr>
              <w:spacing w:line="280" w:lineRule="atLeast"/>
              <w:jc w:val="both"/>
              <w:outlineLvl w:val="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 w:val="20"/>
                <w:lang w:val="en-US" w:eastAsia="zh-CN"/>
              </w:rPr>
              <w:t xml:space="preserve">Reason for change: 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>To complete the list of potential LTE CRS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>which may be overlapped with NR PDCCH.</w:t>
            </w:r>
          </w:p>
          <w:p>
            <w:pPr>
              <w:pStyle w:val="5"/>
              <w:numPr>
                <w:ilvl w:val="3"/>
                <w:numId w:val="0"/>
              </w:numPr>
              <w:spacing w:line="280" w:lineRule="atLeast"/>
              <w:jc w:val="both"/>
              <w:outlineLvl w:val="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 w:val="20"/>
                <w:lang w:val="en-US" w:eastAsia="zh-CN"/>
              </w:rPr>
              <w:t>Summary of change: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 xml:space="preserve"> Using </w:t>
            </w:r>
            <w:r>
              <w:rPr>
                <w:rFonts w:hint="eastAsia" w:ascii="Times New Roman" w:hAnsi="Times New Roman"/>
                <w:i/>
                <w:iCs/>
                <w:sz w:val="20"/>
                <w:lang w:val="en-US" w:eastAsia="zh-CN"/>
              </w:rPr>
              <w:t>lte-CRS-PatternList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 xml:space="preserve"> to represent all potential lists.</w:t>
            </w:r>
          </w:p>
          <w:p>
            <w:pPr>
              <w:pStyle w:val="5"/>
              <w:numPr>
                <w:ilvl w:val="3"/>
                <w:numId w:val="0"/>
              </w:numPr>
              <w:spacing w:line="280" w:lineRule="atLeast"/>
              <w:jc w:val="both"/>
              <w:outlineLvl w:val="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 w:val="20"/>
                <w:lang w:val="en-US" w:eastAsia="zh-CN"/>
              </w:rPr>
              <w:t xml:space="preserve">Consequences if not approved: 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 xml:space="preserve">UE may assume REs in the CORESET could overlapped with REs from </w:t>
            </w:r>
            <w:r>
              <w:rPr>
                <w:rFonts w:hint="eastAsia" w:ascii="Times New Roman" w:hAnsi="Times New Roman"/>
                <w:i/>
                <w:iCs/>
                <w:sz w:val="20"/>
                <w:lang w:val="en-US" w:eastAsia="zh-CN"/>
              </w:rPr>
              <w:t>lte-CRS-PatternList3</w:t>
            </w:r>
            <w:r>
              <w:rPr>
                <w:rFonts w:ascii="Times New Roman" w:hAnsi="Times New Roman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lang w:val="en-US" w:eastAsia="zh-CN"/>
              </w:rPr>
              <w:t xml:space="preserve">if </w:t>
            </w:r>
            <w:r>
              <w:rPr>
                <w:rFonts w:ascii="Times New Roman" w:hAnsi="Times New Roman"/>
                <w:sz w:val="20"/>
              </w:rPr>
              <w:t xml:space="preserve">the UE is not provided with the higher-layer parameter </w:t>
            </w:r>
            <w:r>
              <w:rPr>
                <w:rFonts w:ascii="Times New Roman" w:hAnsi="Times New Roman"/>
                <w:i/>
                <w:iCs/>
                <w:sz w:val="20"/>
              </w:rPr>
              <w:t>pdcchCandidateReception-WithCRSOverlap</w:t>
            </w:r>
            <w:r>
              <w:rPr>
                <w:rFonts w:hint="eastAsia" w:ascii="Times New Roman" w:hAnsi="Times New Roman"/>
                <w:sz w:val="20"/>
                <w:lang w:val="en-US" w:eastAsia="zh-CN"/>
              </w:rPr>
              <w:t>.</w:t>
            </w:r>
          </w:p>
          <w:p>
            <w:pPr>
              <w:pStyle w:val="5"/>
              <w:numPr>
                <w:ilvl w:val="3"/>
                <w:numId w:val="0"/>
              </w:numPr>
              <w:spacing w:line="280" w:lineRule="atLeast"/>
              <w:jc w:val="both"/>
              <w:outlineLvl w:val="3"/>
            </w:pPr>
            <w:r>
              <w:t>7.3.2.2</w:t>
            </w:r>
            <w:r>
              <w:tab/>
            </w:r>
            <w:r>
              <w:t>Control-resource set (CORESET)</w:t>
            </w:r>
          </w:p>
          <w:p>
            <w:pPr>
              <w:spacing w:before="120" w:line="280" w:lineRule="atLeast"/>
              <w:jc w:val="center"/>
              <w:rPr>
                <w:rFonts w:ascii="New York" w:hAnsi="New York"/>
              </w:rPr>
            </w:pPr>
            <w:r>
              <w:rPr>
                <w:rFonts w:hint="eastAsia" w:ascii="Times New Roman" w:hAnsi="Times New Roman" w:cs="Times New Roman"/>
              </w:rPr>
              <w:t>&lt;Unchanged parts are omitted&gt;</w:t>
            </w:r>
          </w:p>
          <w:p>
            <w:pPr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 a CORESET configured by the </w:t>
            </w:r>
            <w:r>
              <w:rPr>
                <w:rFonts w:ascii="Times New Roman" w:hAnsi="Times New Roman" w:cs="Times New Roman"/>
                <w:i/>
              </w:rPr>
              <w:t>ControlResourceSet</w:t>
            </w:r>
            <w:r>
              <w:rPr>
                <w:rFonts w:ascii="Times New Roman" w:hAnsi="Times New Roman" w:cs="Times New Roman"/>
              </w:rPr>
              <w:t xml:space="preserve"> IE: 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RB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CORESET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p>
              </m:sSubSup>
            </m:oMath>
            <w:r>
              <w:rPr>
                <w:rFonts w:ascii="Times New Roman" w:hAnsi="Times New Roman" w:cs="Times New Roman"/>
              </w:rPr>
              <w:t xml:space="preserve"> is given by the higher-layer parameter </w:t>
            </w:r>
            <w:r>
              <w:rPr>
                <w:rFonts w:ascii="Times New Roman" w:hAnsi="Times New Roman" w:cs="Times New Roman"/>
                <w:i/>
              </w:rPr>
              <w:t>frequencyDomainResources</w:t>
            </w:r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symb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CORESET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p>
              </m:sSubSup>
            </m:oMath>
            <w:r>
              <w:rPr>
                <w:rFonts w:ascii="Times New Roman" w:hAnsi="Times New Roman" w:cs="Times New Roman"/>
              </w:rPr>
              <w:t xml:space="preserve"> is given by the higher-layer parameter </w:t>
            </w:r>
            <w:r>
              <w:rPr>
                <w:rFonts w:ascii="Times New Roman" w:hAnsi="Times New Roman" w:cs="Times New Roman"/>
                <w:i/>
              </w:rPr>
              <w:t>duration</w:t>
            </w:r>
            <w:r>
              <w:rPr>
                <w:rFonts w:ascii="Times New Roman" w:hAnsi="Times New Roman" w:cs="Times New Roman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symb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CORESET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 w:cs="Times New Roman"/>
                </w:rPr>
                <m:t>=3</m:t>
              </m:r>
            </m:oMath>
            <w:r>
              <w:rPr>
                <w:rFonts w:ascii="Times New Roman" w:hAnsi="Times New Roman" w:cs="Times New Roman"/>
              </w:rPr>
              <w:t xml:space="preserve"> is supported only if the higher-layer parameter </w:t>
            </w:r>
            <w:r>
              <w:rPr>
                <w:rFonts w:ascii="Times New Roman" w:hAnsi="Times New Roman" w:cs="Times New Roman"/>
                <w:i/>
              </w:rPr>
              <w:t>dmrs-TypeA-Position</w:t>
            </w:r>
            <w:r>
              <w:rPr>
                <w:rFonts w:ascii="Times New Roman" w:hAnsi="Times New Roman" w:cs="Times New Roman"/>
              </w:rPr>
              <w:t xml:space="preserve"> equals 3;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interleaved or non-interleaved mapping is given by the higher-layer parameter </w:t>
            </w:r>
            <w:r>
              <w:rPr>
                <w:rFonts w:ascii="Times New Roman" w:hAnsi="Times New Roman" w:cs="Times New Roman"/>
                <w:i/>
              </w:rPr>
              <w:t>cce-REG-MappingType</w:t>
            </w:r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r>
                <m:rPr/>
                <w:rPr>
                  <w:rFonts w:ascii="Cambria Math" w:hAnsi="Cambria Math" w:cs="Times New Roman"/>
                </w:rPr>
                <m:t>L</m:t>
              </m:r>
            </m:oMath>
            <w:r>
              <w:rPr>
                <w:rFonts w:ascii="Times New Roman" w:hAnsi="Times New Roman" w:cs="Times New Roman"/>
              </w:rPr>
              <w:t xml:space="preserve"> equals 6 for non-interleaved mapping and is given by the higher-layer parameter </w:t>
            </w:r>
            <w:r>
              <w:rPr>
                <w:rFonts w:ascii="Times New Roman" w:hAnsi="Times New Roman" w:cs="Times New Roman"/>
                <w:i/>
              </w:rPr>
              <w:t>reg-BundleSize</w:t>
            </w:r>
            <w:r>
              <w:rPr>
                <w:rFonts w:ascii="Times New Roman" w:hAnsi="Times New Roman" w:cs="Times New Roman"/>
              </w:rPr>
              <w:t xml:space="preserve"> for interleaved mapping;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r>
                <m:rPr/>
                <w:rPr>
                  <w:rFonts w:ascii="Cambria Math" w:hAnsi="Cambria Math" w:cs="Times New Roman"/>
                </w:rPr>
                <m:t>R</m:t>
              </m:r>
            </m:oMath>
            <w:r>
              <w:rPr>
                <w:rFonts w:ascii="Times New Roman" w:hAnsi="Times New Roman" w:cs="Times New Roman"/>
              </w:rPr>
              <w:t xml:space="preserve"> is given by the higher-layer parameter </w:t>
            </w:r>
            <w:r>
              <w:rPr>
                <w:rFonts w:ascii="Times New Roman" w:hAnsi="Times New Roman" w:cs="Times New Roman"/>
                <w:i/>
              </w:rPr>
              <w:t>interleaverSize</w:t>
            </w:r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shift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 w:cs="Times New Roman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 w:cs="Times New Roman"/>
                    </w:rPr>
                    <m:t>0,1,…,274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 xml:space="preserve"> is given by the higher-layer parameter </w:t>
            </w:r>
            <w:r>
              <w:rPr>
                <w:rFonts w:ascii="Times New Roman" w:hAnsi="Times New Roman" w:cs="Times New Roman"/>
                <w:i/>
              </w:rPr>
              <w:t>shiftIndex</w:t>
            </w:r>
            <w:r>
              <w:rPr>
                <w:rFonts w:ascii="Times New Roman" w:hAnsi="Times New Roman" w:cs="Times New Roman"/>
              </w:rPr>
              <w:t xml:space="preserve"> if provided, otherwise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shift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 w:cs="Times New Roman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cs="Times New Roman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ID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Times New Roman" w:hAnsi="Times New Roman" w:cs="Times New Roman"/>
                    </w:rPr>
                    <m:t>cell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sup>
              </m:sSubSup>
            </m:oMath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87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for both interleaved and non-interleaved mapping: </w:t>
            </w:r>
          </w:p>
          <w:p>
            <w:pPr>
              <w:pStyle w:val="88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if the higher-layer parameter </w:t>
            </w:r>
            <w:r>
              <w:rPr>
                <w:rFonts w:ascii="Times New Roman" w:hAnsi="Times New Roman" w:cs="Times New Roman"/>
                <w:i/>
              </w:rPr>
              <w:t xml:space="preserve">precoderGranularity </w:t>
            </w:r>
            <w:r>
              <w:rPr>
                <w:rFonts w:ascii="Times New Roman" w:hAnsi="Times New Roman" w:cs="Times New Roman"/>
              </w:rPr>
              <w:t xml:space="preserve">equals </w:t>
            </w:r>
            <w:r>
              <w:rPr>
                <w:rFonts w:ascii="Times New Roman" w:hAnsi="Times New Roman" w:cs="Times New Roman"/>
                <w:i/>
              </w:rPr>
              <w:t xml:space="preserve">sameAsREG-bundle </w:t>
            </w:r>
            <w:r>
              <w:rPr>
                <w:rFonts w:ascii="Times New Roman" w:hAnsi="Times New Roman" w:cs="Times New Roman"/>
              </w:rPr>
              <w:t xml:space="preserve">the UE may assume the same precoding being used within a REG bundle </w:t>
            </w:r>
          </w:p>
          <w:p>
            <w:pPr>
              <w:pStyle w:val="88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if the higher-layer parameter </w:t>
            </w:r>
            <w:r>
              <w:rPr>
                <w:rFonts w:ascii="Times New Roman" w:hAnsi="Times New Roman" w:cs="Times New Roman"/>
                <w:i/>
              </w:rPr>
              <w:t xml:space="preserve">precoderGranularity </w:t>
            </w:r>
            <w:r>
              <w:rPr>
                <w:rFonts w:ascii="Times New Roman" w:hAnsi="Times New Roman" w:cs="Times New Roman"/>
              </w:rPr>
              <w:t xml:space="preserve">equals </w:t>
            </w:r>
            <w:r>
              <w:rPr>
                <w:rFonts w:ascii="Times New Roman" w:hAnsi="Times New Roman" w:cs="Times New Roman"/>
                <w:i/>
              </w:rPr>
              <w:t>allContiguousRBs</w:t>
            </w:r>
            <w:r>
              <w:rPr>
                <w:rFonts w:ascii="Times New Roman" w:hAnsi="Times New Roman" w:cs="Times New Roman"/>
              </w:rPr>
              <w:t xml:space="preserve"> , </w:t>
            </w:r>
          </w:p>
          <w:p>
            <w:pPr>
              <w:pStyle w:val="89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the UE may assume the same precoding being used across the all resource-element groups within the set of contiguous resource blocks in the CORESET</w:t>
            </w:r>
          </w:p>
          <w:p>
            <w:pPr>
              <w:pStyle w:val="89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the UE may assume that no resource elements in the CORESET overlap with an SSB</w:t>
            </w:r>
          </w:p>
          <w:p>
            <w:pPr>
              <w:pStyle w:val="89"/>
              <w:spacing w:before="120" w:line="280" w:lineRule="atLeast"/>
              <w:rPr>
                <w:rFonts w:ascii="New York" w:hAnsi="New York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if the UE is not provided with the higher-layer parameter </w:t>
            </w:r>
            <w:r>
              <w:rPr>
                <w:rFonts w:ascii="Times New Roman" w:hAnsi="Times New Roman" w:cs="Times New Roman"/>
                <w:i/>
                <w:iCs/>
              </w:rPr>
              <w:t>pdcchCandidateReception-WithCRSOverlap</w:t>
            </w:r>
            <w:r>
              <w:rPr>
                <w:rFonts w:ascii="Times New Roman" w:hAnsi="Times New Roman" w:cs="Times New Roman"/>
              </w:rPr>
              <w:t xml:space="preserve">, the UE may assume that no resource elements in the CORESET overlap with  LTE cell-specific reference signals as indicated by the higher-layer parameter </w:t>
            </w:r>
            <w:r>
              <w:rPr>
                <w:rFonts w:ascii="Times New Roman" w:hAnsi="Times New Roman" w:cs="Times New Roman"/>
                <w:i/>
              </w:rPr>
              <w:t xml:space="preserve">lte-CRS-ToMatchAround 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or </w:t>
            </w:r>
            <w:r>
              <w:rPr>
                <w:rFonts w:ascii="Times New Roman" w:hAnsi="Times New Roman" w:cs="Times New Roman"/>
                <w:i/>
                <w:color w:val="FF0000"/>
                <w:u w:val="single"/>
              </w:rPr>
              <w:t>lte-CRS-PatternList</w:t>
            </w:r>
            <w:r>
              <w:rPr>
                <w:rFonts w:ascii="Times New Roman" w:hAnsi="Times New Roman" w:cs="Times New Roman"/>
                <w:iCs/>
                <w:strike/>
                <w:color w:val="FF0000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trike/>
                <w:color w:val="FF0000"/>
              </w:rPr>
              <w:t>lte-CRS-PatternList1</w:t>
            </w:r>
            <w:r>
              <w:rPr>
                <w:rFonts w:ascii="Times New Roman" w:hAnsi="Times New Roman" w:cs="Times New Roman"/>
                <w:iCs/>
                <w:strike/>
                <w:color w:val="FF0000"/>
              </w:rPr>
              <w:t>,</w:t>
            </w:r>
            <w:r>
              <w:rPr>
                <w:rFonts w:ascii="Times New Roman" w:hAnsi="Times New Roman" w:cs="Times New Roman"/>
                <w:strike/>
                <w:color w:val="FF0000"/>
              </w:rPr>
              <w:t xml:space="preserve"> or </w:t>
            </w:r>
            <w:r>
              <w:rPr>
                <w:rFonts w:ascii="Times New Roman" w:hAnsi="Times New Roman" w:cs="Times New Roman"/>
                <w:i/>
                <w:strike/>
                <w:color w:val="FF0000"/>
              </w:rPr>
              <w:t>lte-CRS-PatternList2</w:t>
            </w:r>
            <w:r>
              <w:rPr>
                <w:rFonts w:ascii="Times New Roman" w:hAnsi="Times New Roman" w:cs="Times New Roman"/>
              </w:rPr>
              <w:t>.</w:t>
            </w:r>
          </w:p>
          <w:p>
            <w:pPr>
              <w:numPr>
                <w:ilvl w:val="3"/>
                <w:numId w:val="0"/>
              </w:numPr>
              <w:spacing w:before="120" w:line="280" w:lineRule="atLeast"/>
              <w:jc w:val="center"/>
              <w:rPr>
                <w:rFonts w:ascii="New York" w:hAnsi="New York"/>
              </w:rPr>
            </w:pPr>
            <w:r>
              <w:rPr>
                <w:rFonts w:ascii="Times New Roman" w:hAnsi="Times New Roman" w:cs="Times New Roman"/>
              </w:rPr>
              <w:t>&lt;Unchanged parts are omitted&gt;</w:t>
            </w:r>
          </w:p>
        </w:tc>
      </w:tr>
    </w:tbl>
    <w:p>
      <w:pPr>
        <w:pStyle w:val="2"/>
        <w:rPr>
          <w:lang w:val="en-US" w:eastAsia="zh-CN"/>
        </w:rPr>
      </w:pPr>
      <w:r>
        <w:rPr>
          <w:lang w:val="en-US" w:eastAsia="zh-CN"/>
        </w:rPr>
        <w:t>Reference</w:t>
      </w:r>
    </w:p>
    <w:p>
      <w:pPr>
        <w:pStyle w:val="126"/>
        <w:spacing w:before="120"/>
      </w:pPr>
      <w:r>
        <w:rPr>
          <w:rFonts w:hint="eastAsia" w:eastAsia="宋体" w:cs="Times New Roman"/>
          <w:color w:val="000000"/>
          <w:lang w:val="en-US" w:eastAsia="zh-CN"/>
        </w:rPr>
        <w:t xml:space="preserve">TS38.211-i00, </w:t>
      </w:r>
      <w:r>
        <w:t>Physical channels and modulation</w:t>
      </w:r>
      <w:r>
        <w:rPr>
          <w:rFonts w:hint="eastAsia" w:eastAsia="宋体"/>
          <w:lang w:val="en-US" w:eastAsia="zh-CN"/>
        </w:rPr>
        <w:t>.</w:t>
      </w:r>
      <w:bookmarkStart w:id="11" w:name="_GoBack"/>
      <w:bookmarkEnd w:id="11"/>
    </w:p>
    <w:sectPr>
      <w:footerReference r:id="rId5" w:type="default"/>
      <w:headerReference r:id="rId4" w:type="even"/>
      <w:footerReference r:id="rId6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7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7</w:t>
    </w:r>
    <w:r>
      <w:rPr>
        <w:rStyle w:val="5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doNotHyphenateCaps/>
  <w:drawingGridHorizontalSpacing w:val="10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48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880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63E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A71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7D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1CFF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07F1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AA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5B4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926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467"/>
    <w:rsid w:val="001175EF"/>
    <w:rsid w:val="00117677"/>
    <w:rsid w:val="001176B3"/>
    <w:rsid w:val="00117957"/>
    <w:rsid w:val="00117C78"/>
    <w:rsid w:val="00117CDA"/>
    <w:rsid w:val="001201EA"/>
    <w:rsid w:val="001203DB"/>
    <w:rsid w:val="0012079F"/>
    <w:rsid w:val="001207F3"/>
    <w:rsid w:val="00120C13"/>
    <w:rsid w:val="00120D1D"/>
    <w:rsid w:val="00121769"/>
    <w:rsid w:val="00121E1A"/>
    <w:rsid w:val="00121F77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9E5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BC4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979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A27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78A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5B8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87B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4709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DE1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76B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CC9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536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98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778"/>
    <w:rsid w:val="0021797D"/>
    <w:rsid w:val="00217C32"/>
    <w:rsid w:val="00217CE8"/>
    <w:rsid w:val="0022003A"/>
    <w:rsid w:val="002202EC"/>
    <w:rsid w:val="002204ED"/>
    <w:rsid w:val="002208BE"/>
    <w:rsid w:val="0022091D"/>
    <w:rsid w:val="00220C1A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4F5F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521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47F6C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09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6F5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1F3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042"/>
    <w:rsid w:val="00295226"/>
    <w:rsid w:val="002953D0"/>
    <w:rsid w:val="00295F1C"/>
    <w:rsid w:val="0029606F"/>
    <w:rsid w:val="002960D8"/>
    <w:rsid w:val="0029660E"/>
    <w:rsid w:val="00296758"/>
    <w:rsid w:val="0029696C"/>
    <w:rsid w:val="00296D08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5AB9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8F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881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1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47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658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329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D3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370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503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09E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777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1EE"/>
    <w:rsid w:val="003D63BA"/>
    <w:rsid w:val="003D63D7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54D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75E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03A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9B"/>
    <w:rsid w:val="004126F3"/>
    <w:rsid w:val="00413369"/>
    <w:rsid w:val="004138DB"/>
    <w:rsid w:val="004139A9"/>
    <w:rsid w:val="00413FF3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C88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2B8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6912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002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030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379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B44"/>
    <w:rsid w:val="00492C2F"/>
    <w:rsid w:val="0049349F"/>
    <w:rsid w:val="004935A4"/>
    <w:rsid w:val="004938AA"/>
    <w:rsid w:val="00493D08"/>
    <w:rsid w:val="004949D8"/>
    <w:rsid w:val="00494E75"/>
    <w:rsid w:val="00495071"/>
    <w:rsid w:val="00495E0E"/>
    <w:rsid w:val="004961DB"/>
    <w:rsid w:val="0049653E"/>
    <w:rsid w:val="00496A7C"/>
    <w:rsid w:val="00496BEF"/>
    <w:rsid w:val="00496DC2"/>
    <w:rsid w:val="00496E38"/>
    <w:rsid w:val="00497404"/>
    <w:rsid w:val="00497C03"/>
    <w:rsid w:val="004A01E1"/>
    <w:rsid w:val="004A0B52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47D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8D4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9E4"/>
    <w:rsid w:val="004B2B31"/>
    <w:rsid w:val="004B2C33"/>
    <w:rsid w:val="004B2CDB"/>
    <w:rsid w:val="004B2DE8"/>
    <w:rsid w:val="004B2F6E"/>
    <w:rsid w:val="004B3C3F"/>
    <w:rsid w:val="004B45A2"/>
    <w:rsid w:val="004B46C3"/>
    <w:rsid w:val="004B46C9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1B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5CB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398"/>
    <w:rsid w:val="004F4E53"/>
    <w:rsid w:val="004F4F2A"/>
    <w:rsid w:val="004F58AB"/>
    <w:rsid w:val="004F5A7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11C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49F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6EF9"/>
    <w:rsid w:val="00537092"/>
    <w:rsid w:val="00537468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B69"/>
    <w:rsid w:val="00541D0D"/>
    <w:rsid w:val="00541E2B"/>
    <w:rsid w:val="0054200A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0F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2A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355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6F55"/>
    <w:rsid w:val="005D7458"/>
    <w:rsid w:val="005D7504"/>
    <w:rsid w:val="005D7539"/>
    <w:rsid w:val="005D75F4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A2F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15D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268"/>
    <w:rsid w:val="005F647A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4E5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69B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29D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7C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12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AEF"/>
    <w:rsid w:val="006E1C34"/>
    <w:rsid w:val="006E1E45"/>
    <w:rsid w:val="006E22CC"/>
    <w:rsid w:val="006E2461"/>
    <w:rsid w:val="006E3D3A"/>
    <w:rsid w:val="006E4441"/>
    <w:rsid w:val="006E4646"/>
    <w:rsid w:val="006E4C12"/>
    <w:rsid w:val="006E4CF9"/>
    <w:rsid w:val="006E512D"/>
    <w:rsid w:val="006E5477"/>
    <w:rsid w:val="006E554E"/>
    <w:rsid w:val="006E5AFE"/>
    <w:rsid w:val="006E6040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6EB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48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1EF4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59A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06F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14A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191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BC2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816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31E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F8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50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2D8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3C9"/>
    <w:rsid w:val="007E5634"/>
    <w:rsid w:val="007E5D16"/>
    <w:rsid w:val="007E5E5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1A8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6DD"/>
    <w:rsid w:val="0083179C"/>
    <w:rsid w:val="00832142"/>
    <w:rsid w:val="0083224F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C25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939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DC5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E7F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8B5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D7E2F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1D4D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7FB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DF6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C97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277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8F9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B10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6AE8"/>
    <w:rsid w:val="00956CC1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8E9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0DE"/>
    <w:rsid w:val="009621FF"/>
    <w:rsid w:val="009626E0"/>
    <w:rsid w:val="00962C8A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CFE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80F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2FC0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0E27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825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678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B19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BB1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E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C54"/>
    <w:rsid w:val="00A64196"/>
    <w:rsid w:val="00A6471D"/>
    <w:rsid w:val="00A647A9"/>
    <w:rsid w:val="00A649B4"/>
    <w:rsid w:val="00A64BC7"/>
    <w:rsid w:val="00A64C4B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081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66C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4BBE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4F2D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0F29"/>
    <w:rsid w:val="00AC1281"/>
    <w:rsid w:val="00AC1539"/>
    <w:rsid w:val="00AC1554"/>
    <w:rsid w:val="00AC21BA"/>
    <w:rsid w:val="00AC22C7"/>
    <w:rsid w:val="00AC265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0A00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8D"/>
    <w:rsid w:val="00AD379F"/>
    <w:rsid w:val="00AD3935"/>
    <w:rsid w:val="00AD3BEC"/>
    <w:rsid w:val="00AD4597"/>
    <w:rsid w:val="00AD48F9"/>
    <w:rsid w:val="00AD4C34"/>
    <w:rsid w:val="00AD4C7E"/>
    <w:rsid w:val="00AD4D84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4D08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59F"/>
    <w:rsid w:val="00B239CC"/>
    <w:rsid w:val="00B23C57"/>
    <w:rsid w:val="00B23E2E"/>
    <w:rsid w:val="00B24F49"/>
    <w:rsid w:val="00B2500C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74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2FB4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5BA8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BEA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4FA4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0F07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181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4EF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0AC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6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078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914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242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95E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AF8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58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4E1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1FE8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28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BE2"/>
    <w:rsid w:val="00D10CA2"/>
    <w:rsid w:val="00D10E3E"/>
    <w:rsid w:val="00D11672"/>
    <w:rsid w:val="00D11873"/>
    <w:rsid w:val="00D11DD7"/>
    <w:rsid w:val="00D11EC9"/>
    <w:rsid w:val="00D11FAE"/>
    <w:rsid w:val="00D120B5"/>
    <w:rsid w:val="00D12371"/>
    <w:rsid w:val="00D12440"/>
    <w:rsid w:val="00D1249E"/>
    <w:rsid w:val="00D124B7"/>
    <w:rsid w:val="00D126E6"/>
    <w:rsid w:val="00D126F8"/>
    <w:rsid w:val="00D128F5"/>
    <w:rsid w:val="00D12B75"/>
    <w:rsid w:val="00D12C08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2F65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B8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33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1A6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87B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5E2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D9F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13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3DE7"/>
    <w:rsid w:val="00DD430B"/>
    <w:rsid w:val="00DD49D3"/>
    <w:rsid w:val="00DD4D87"/>
    <w:rsid w:val="00DD59AB"/>
    <w:rsid w:val="00DD5FE1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46D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243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D11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2F0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6AE8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A64"/>
    <w:rsid w:val="00E82EE0"/>
    <w:rsid w:val="00E83280"/>
    <w:rsid w:val="00E832C9"/>
    <w:rsid w:val="00E8344D"/>
    <w:rsid w:val="00E83469"/>
    <w:rsid w:val="00E839A9"/>
    <w:rsid w:val="00E83E6E"/>
    <w:rsid w:val="00E84111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EFC"/>
    <w:rsid w:val="00EA5029"/>
    <w:rsid w:val="00EA5163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4F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09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184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592A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C53"/>
    <w:rsid w:val="00EE3DCB"/>
    <w:rsid w:val="00EE4825"/>
    <w:rsid w:val="00EE5112"/>
    <w:rsid w:val="00EE52ED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B32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D9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EBC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BBD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776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4F2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2EE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554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AD9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3F02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6F4F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072AB4"/>
    <w:rsid w:val="013878F6"/>
    <w:rsid w:val="020F39CB"/>
    <w:rsid w:val="027D4778"/>
    <w:rsid w:val="0284643E"/>
    <w:rsid w:val="02F5755A"/>
    <w:rsid w:val="03532C3F"/>
    <w:rsid w:val="03B25C4C"/>
    <w:rsid w:val="03D41089"/>
    <w:rsid w:val="03DD6559"/>
    <w:rsid w:val="03F94E83"/>
    <w:rsid w:val="03FC4856"/>
    <w:rsid w:val="04004245"/>
    <w:rsid w:val="04286071"/>
    <w:rsid w:val="042E656E"/>
    <w:rsid w:val="05064BA7"/>
    <w:rsid w:val="05156BC3"/>
    <w:rsid w:val="052160CC"/>
    <w:rsid w:val="055D03CF"/>
    <w:rsid w:val="05697BA8"/>
    <w:rsid w:val="05F72C69"/>
    <w:rsid w:val="0645259D"/>
    <w:rsid w:val="06473589"/>
    <w:rsid w:val="067D4C1C"/>
    <w:rsid w:val="06B127E5"/>
    <w:rsid w:val="06FD19D7"/>
    <w:rsid w:val="0706008A"/>
    <w:rsid w:val="071D7131"/>
    <w:rsid w:val="07285DF5"/>
    <w:rsid w:val="072F2729"/>
    <w:rsid w:val="073E5025"/>
    <w:rsid w:val="07470AC8"/>
    <w:rsid w:val="07C21FA9"/>
    <w:rsid w:val="08273C1E"/>
    <w:rsid w:val="083946BA"/>
    <w:rsid w:val="0860546F"/>
    <w:rsid w:val="08C66D6A"/>
    <w:rsid w:val="0957797D"/>
    <w:rsid w:val="0972706B"/>
    <w:rsid w:val="097E42BA"/>
    <w:rsid w:val="09947E3A"/>
    <w:rsid w:val="09C21BB6"/>
    <w:rsid w:val="0A1F453E"/>
    <w:rsid w:val="0A867EAB"/>
    <w:rsid w:val="0AAE7278"/>
    <w:rsid w:val="0AEB1745"/>
    <w:rsid w:val="0AF35369"/>
    <w:rsid w:val="0AFC60B7"/>
    <w:rsid w:val="0B3B2104"/>
    <w:rsid w:val="0B540436"/>
    <w:rsid w:val="0BAD7041"/>
    <w:rsid w:val="0BC261B4"/>
    <w:rsid w:val="0C6F5654"/>
    <w:rsid w:val="0CD936F4"/>
    <w:rsid w:val="0CF02CBB"/>
    <w:rsid w:val="0D132BA9"/>
    <w:rsid w:val="0D660AC2"/>
    <w:rsid w:val="0D672BF6"/>
    <w:rsid w:val="0DB74E94"/>
    <w:rsid w:val="0DE7374D"/>
    <w:rsid w:val="0E120AD5"/>
    <w:rsid w:val="0E256378"/>
    <w:rsid w:val="0EB06FFE"/>
    <w:rsid w:val="0EF932E0"/>
    <w:rsid w:val="0F1E6687"/>
    <w:rsid w:val="0F5A28FA"/>
    <w:rsid w:val="0F6068C0"/>
    <w:rsid w:val="0F706BAA"/>
    <w:rsid w:val="0F7A679A"/>
    <w:rsid w:val="0F7E416E"/>
    <w:rsid w:val="0FA67544"/>
    <w:rsid w:val="0FB86AA6"/>
    <w:rsid w:val="10150A41"/>
    <w:rsid w:val="10AC7258"/>
    <w:rsid w:val="1106343A"/>
    <w:rsid w:val="123A5CEE"/>
    <w:rsid w:val="1257267A"/>
    <w:rsid w:val="12A472D8"/>
    <w:rsid w:val="12F30AAB"/>
    <w:rsid w:val="12FE321B"/>
    <w:rsid w:val="130859B8"/>
    <w:rsid w:val="13461DD8"/>
    <w:rsid w:val="138856E6"/>
    <w:rsid w:val="13D35FFA"/>
    <w:rsid w:val="14145EF4"/>
    <w:rsid w:val="141F2191"/>
    <w:rsid w:val="143532E6"/>
    <w:rsid w:val="14552844"/>
    <w:rsid w:val="14617B44"/>
    <w:rsid w:val="14D93075"/>
    <w:rsid w:val="14EF6D2C"/>
    <w:rsid w:val="1575AEB2"/>
    <w:rsid w:val="15CC41C1"/>
    <w:rsid w:val="15D35BAD"/>
    <w:rsid w:val="164F7F6D"/>
    <w:rsid w:val="165E068A"/>
    <w:rsid w:val="168D6964"/>
    <w:rsid w:val="16BF3E3F"/>
    <w:rsid w:val="16F40562"/>
    <w:rsid w:val="1702D3F2"/>
    <w:rsid w:val="1752436D"/>
    <w:rsid w:val="17FE70A4"/>
    <w:rsid w:val="18263E2C"/>
    <w:rsid w:val="182C6DB0"/>
    <w:rsid w:val="188D2058"/>
    <w:rsid w:val="18BA7603"/>
    <w:rsid w:val="18FD3F86"/>
    <w:rsid w:val="192B740B"/>
    <w:rsid w:val="192E2932"/>
    <w:rsid w:val="19465F9B"/>
    <w:rsid w:val="19497C62"/>
    <w:rsid w:val="194A313F"/>
    <w:rsid w:val="19990F5E"/>
    <w:rsid w:val="1A1C0173"/>
    <w:rsid w:val="1A295E9B"/>
    <w:rsid w:val="1A514204"/>
    <w:rsid w:val="1A527EFD"/>
    <w:rsid w:val="1AA8142B"/>
    <w:rsid w:val="1B2E6DC7"/>
    <w:rsid w:val="1B5316CE"/>
    <w:rsid w:val="1B5E59D2"/>
    <w:rsid w:val="1BDA4AC2"/>
    <w:rsid w:val="1C190B89"/>
    <w:rsid w:val="1C3517CB"/>
    <w:rsid w:val="1C766428"/>
    <w:rsid w:val="1CD40BF0"/>
    <w:rsid w:val="1CEF1747"/>
    <w:rsid w:val="1D376B36"/>
    <w:rsid w:val="1D404CAE"/>
    <w:rsid w:val="1D91188A"/>
    <w:rsid w:val="1DD50930"/>
    <w:rsid w:val="1DF407BB"/>
    <w:rsid w:val="1E38003B"/>
    <w:rsid w:val="1E477F40"/>
    <w:rsid w:val="1E885B32"/>
    <w:rsid w:val="1EBF407F"/>
    <w:rsid w:val="1F714E2A"/>
    <w:rsid w:val="1F850095"/>
    <w:rsid w:val="1FB22D0C"/>
    <w:rsid w:val="1FB91CD0"/>
    <w:rsid w:val="200E5227"/>
    <w:rsid w:val="204D7FB8"/>
    <w:rsid w:val="20641EE3"/>
    <w:rsid w:val="20910CB1"/>
    <w:rsid w:val="20AE657D"/>
    <w:rsid w:val="20CD42FE"/>
    <w:rsid w:val="21035A99"/>
    <w:rsid w:val="21282288"/>
    <w:rsid w:val="223A507E"/>
    <w:rsid w:val="22825392"/>
    <w:rsid w:val="22E349F4"/>
    <w:rsid w:val="22E82E0D"/>
    <w:rsid w:val="22F6701D"/>
    <w:rsid w:val="232C6565"/>
    <w:rsid w:val="23680C07"/>
    <w:rsid w:val="239E142D"/>
    <w:rsid w:val="23C1309F"/>
    <w:rsid w:val="23D5203C"/>
    <w:rsid w:val="23E0361F"/>
    <w:rsid w:val="23FD15E4"/>
    <w:rsid w:val="2458468B"/>
    <w:rsid w:val="245870DE"/>
    <w:rsid w:val="247247A7"/>
    <w:rsid w:val="2473146A"/>
    <w:rsid w:val="24F85F3F"/>
    <w:rsid w:val="25003F0D"/>
    <w:rsid w:val="26900B54"/>
    <w:rsid w:val="26A254CC"/>
    <w:rsid w:val="27C5366D"/>
    <w:rsid w:val="27DD67CA"/>
    <w:rsid w:val="27FE266B"/>
    <w:rsid w:val="280B2B76"/>
    <w:rsid w:val="281C114E"/>
    <w:rsid w:val="284E2AEA"/>
    <w:rsid w:val="28690808"/>
    <w:rsid w:val="28B07E55"/>
    <w:rsid w:val="28B54AA2"/>
    <w:rsid w:val="294D6347"/>
    <w:rsid w:val="299A5D1C"/>
    <w:rsid w:val="29FF3ABF"/>
    <w:rsid w:val="2A0F0B23"/>
    <w:rsid w:val="2A2510F4"/>
    <w:rsid w:val="2A296979"/>
    <w:rsid w:val="2A337553"/>
    <w:rsid w:val="2A687D53"/>
    <w:rsid w:val="2AFE2B7E"/>
    <w:rsid w:val="2B75574F"/>
    <w:rsid w:val="2BCA728C"/>
    <w:rsid w:val="2C5A4099"/>
    <w:rsid w:val="2D200265"/>
    <w:rsid w:val="2D376513"/>
    <w:rsid w:val="2D6D0E07"/>
    <w:rsid w:val="2D9770A0"/>
    <w:rsid w:val="2DB647E6"/>
    <w:rsid w:val="2DC863F1"/>
    <w:rsid w:val="2DFA0BB0"/>
    <w:rsid w:val="2E1F7F7C"/>
    <w:rsid w:val="2EB72406"/>
    <w:rsid w:val="2ECF42D4"/>
    <w:rsid w:val="2ED8786E"/>
    <w:rsid w:val="2EE04F51"/>
    <w:rsid w:val="2F2367DE"/>
    <w:rsid w:val="2F2A1060"/>
    <w:rsid w:val="2FBD702A"/>
    <w:rsid w:val="3023381D"/>
    <w:rsid w:val="302D2F35"/>
    <w:rsid w:val="30340FD5"/>
    <w:rsid w:val="304374A4"/>
    <w:rsid w:val="305E120A"/>
    <w:rsid w:val="305E32CB"/>
    <w:rsid w:val="306042CF"/>
    <w:rsid w:val="30C2154F"/>
    <w:rsid w:val="31542D3B"/>
    <w:rsid w:val="316E0CE5"/>
    <w:rsid w:val="31B86A4E"/>
    <w:rsid w:val="31D1444B"/>
    <w:rsid w:val="31E8365D"/>
    <w:rsid w:val="32002ED7"/>
    <w:rsid w:val="323F4262"/>
    <w:rsid w:val="32832752"/>
    <w:rsid w:val="32923E6A"/>
    <w:rsid w:val="32FE23BF"/>
    <w:rsid w:val="330E6893"/>
    <w:rsid w:val="331D7147"/>
    <w:rsid w:val="33B00CD0"/>
    <w:rsid w:val="33DE0CB9"/>
    <w:rsid w:val="33EF2204"/>
    <w:rsid w:val="34314483"/>
    <w:rsid w:val="34E47991"/>
    <w:rsid w:val="3511129D"/>
    <w:rsid w:val="3518799B"/>
    <w:rsid w:val="3589049F"/>
    <w:rsid w:val="359455FE"/>
    <w:rsid w:val="35EB1834"/>
    <w:rsid w:val="361C54AC"/>
    <w:rsid w:val="36CD07B0"/>
    <w:rsid w:val="36D04110"/>
    <w:rsid w:val="36FE6684"/>
    <w:rsid w:val="37010BCC"/>
    <w:rsid w:val="375C57D7"/>
    <w:rsid w:val="37DD651E"/>
    <w:rsid w:val="383846F9"/>
    <w:rsid w:val="38BA113F"/>
    <w:rsid w:val="397B4037"/>
    <w:rsid w:val="39962AF1"/>
    <w:rsid w:val="3A001523"/>
    <w:rsid w:val="3A0D01CA"/>
    <w:rsid w:val="3A135075"/>
    <w:rsid w:val="3A5C752A"/>
    <w:rsid w:val="3A8424B5"/>
    <w:rsid w:val="3AB31D0C"/>
    <w:rsid w:val="3AD414CF"/>
    <w:rsid w:val="3ADC36CD"/>
    <w:rsid w:val="3B4A3B53"/>
    <w:rsid w:val="3BE5025A"/>
    <w:rsid w:val="3BF47021"/>
    <w:rsid w:val="3C746854"/>
    <w:rsid w:val="3C833DEB"/>
    <w:rsid w:val="3C923082"/>
    <w:rsid w:val="3CE11C1C"/>
    <w:rsid w:val="3CF70AC1"/>
    <w:rsid w:val="3D0354C7"/>
    <w:rsid w:val="3D7642C9"/>
    <w:rsid w:val="3DA211D9"/>
    <w:rsid w:val="3DDA6D42"/>
    <w:rsid w:val="3DF16287"/>
    <w:rsid w:val="3DFC2713"/>
    <w:rsid w:val="3E314120"/>
    <w:rsid w:val="3E361E96"/>
    <w:rsid w:val="3E7347F4"/>
    <w:rsid w:val="3EF83C43"/>
    <w:rsid w:val="3F01664D"/>
    <w:rsid w:val="3F175FC8"/>
    <w:rsid w:val="3F210B31"/>
    <w:rsid w:val="3FD010A5"/>
    <w:rsid w:val="40515555"/>
    <w:rsid w:val="40850DCD"/>
    <w:rsid w:val="410D4894"/>
    <w:rsid w:val="419C5684"/>
    <w:rsid w:val="41AC1D9C"/>
    <w:rsid w:val="42151385"/>
    <w:rsid w:val="4242619A"/>
    <w:rsid w:val="425E76E4"/>
    <w:rsid w:val="42B20782"/>
    <w:rsid w:val="42B65492"/>
    <w:rsid w:val="43192066"/>
    <w:rsid w:val="4342749A"/>
    <w:rsid w:val="44143EA9"/>
    <w:rsid w:val="44917C93"/>
    <w:rsid w:val="44C25C5A"/>
    <w:rsid w:val="45650BEB"/>
    <w:rsid w:val="4577109F"/>
    <w:rsid w:val="45B42313"/>
    <w:rsid w:val="465B4027"/>
    <w:rsid w:val="465D4952"/>
    <w:rsid w:val="468C78AD"/>
    <w:rsid w:val="46D41E44"/>
    <w:rsid w:val="47832121"/>
    <w:rsid w:val="47AE2F53"/>
    <w:rsid w:val="485F7108"/>
    <w:rsid w:val="487E76F0"/>
    <w:rsid w:val="488822B9"/>
    <w:rsid w:val="491A13F2"/>
    <w:rsid w:val="49446ABC"/>
    <w:rsid w:val="496938E0"/>
    <w:rsid w:val="496B4239"/>
    <w:rsid w:val="49882B35"/>
    <w:rsid w:val="4996426F"/>
    <w:rsid w:val="49D12A73"/>
    <w:rsid w:val="4ACF5EC6"/>
    <w:rsid w:val="4B3872E6"/>
    <w:rsid w:val="4B515972"/>
    <w:rsid w:val="4B7452D5"/>
    <w:rsid w:val="4C1361EC"/>
    <w:rsid w:val="4C3D2DFD"/>
    <w:rsid w:val="4CA149AE"/>
    <w:rsid w:val="4D160C08"/>
    <w:rsid w:val="4D316C8F"/>
    <w:rsid w:val="4DF51404"/>
    <w:rsid w:val="4E5633F4"/>
    <w:rsid w:val="4E7740D9"/>
    <w:rsid w:val="4EAC0AFF"/>
    <w:rsid w:val="4EC2021D"/>
    <w:rsid w:val="4F086DD8"/>
    <w:rsid w:val="4F0B3B46"/>
    <w:rsid w:val="501C1502"/>
    <w:rsid w:val="50923B0A"/>
    <w:rsid w:val="50CD7F07"/>
    <w:rsid w:val="50F4260D"/>
    <w:rsid w:val="50FD13B2"/>
    <w:rsid w:val="51281F42"/>
    <w:rsid w:val="51921E5D"/>
    <w:rsid w:val="51976172"/>
    <w:rsid w:val="51BB4BF3"/>
    <w:rsid w:val="52A04E2D"/>
    <w:rsid w:val="52FE30BB"/>
    <w:rsid w:val="53341398"/>
    <w:rsid w:val="53404151"/>
    <w:rsid w:val="536E79E7"/>
    <w:rsid w:val="53BA0376"/>
    <w:rsid w:val="54150647"/>
    <w:rsid w:val="5459676D"/>
    <w:rsid w:val="54BA43C5"/>
    <w:rsid w:val="54CE2507"/>
    <w:rsid w:val="55181CD2"/>
    <w:rsid w:val="554254DD"/>
    <w:rsid w:val="55D01D97"/>
    <w:rsid w:val="561F5BDB"/>
    <w:rsid w:val="56647461"/>
    <w:rsid w:val="56655E89"/>
    <w:rsid w:val="568D30FA"/>
    <w:rsid w:val="5704015A"/>
    <w:rsid w:val="571F1D39"/>
    <w:rsid w:val="57244B18"/>
    <w:rsid w:val="57442FC6"/>
    <w:rsid w:val="57D90BD4"/>
    <w:rsid w:val="57EF6871"/>
    <w:rsid w:val="57F302FC"/>
    <w:rsid w:val="58240039"/>
    <w:rsid w:val="591F5E05"/>
    <w:rsid w:val="595A121E"/>
    <w:rsid w:val="5972083C"/>
    <w:rsid w:val="59C75644"/>
    <w:rsid w:val="5A4C2D65"/>
    <w:rsid w:val="5A567BC3"/>
    <w:rsid w:val="5AF07FF7"/>
    <w:rsid w:val="5AF422E5"/>
    <w:rsid w:val="5B3063A7"/>
    <w:rsid w:val="5BF26431"/>
    <w:rsid w:val="5C0819B2"/>
    <w:rsid w:val="5C7D7837"/>
    <w:rsid w:val="5C9B1BBB"/>
    <w:rsid w:val="5D9934CB"/>
    <w:rsid w:val="5DB13B69"/>
    <w:rsid w:val="5DBB1662"/>
    <w:rsid w:val="5DF15BAD"/>
    <w:rsid w:val="5E4C3140"/>
    <w:rsid w:val="5E613EFA"/>
    <w:rsid w:val="5E780DEA"/>
    <w:rsid w:val="5ED0622A"/>
    <w:rsid w:val="5EEB73AC"/>
    <w:rsid w:val="5F233C43"/>
    <w:rsid w:val="5F533487"/>
    <w:rsid w:val="5F631FA8"/>
    <w:rsid w:val="60D441BD"/>
    <w:rsid w:val="616D4429"/>
    <w:rsid w:val="61810108"/>
    <w:rsid w:val="61A67E7E"/>
    <w:rsid w:val="61B473DC"/>
    <w:rsid w:val="62196869"/>
    <w:rsid w:val="62717D09"/>
    <w:rsid w:val="62840215"/>
    <w:rsid w:val="62C911B7"/>
    <w:rsid w:val="62C94524"/>
    <w:rsid w:val="62D03955"/>
    <w:rsid w:val="636D013E"/>
    <w:rsid w:val="63CA5F59"/>
    <w:rsid w:val="63D13659"/>
    <w:rsid w:val="644C2401"/>
    <w:rsid w:val="64D57083"/>
    <w:rsid w:val="65507243"/>
    <w:rsid w:val="65576B9C"/>
    <w:rsid w:val="656027FF"/>
    <w:rsid w:val="65AE4F1A"/>
    <w:rsid w:val="65EB6839"/>
    <w:rsid w:val="66457E51"/>
    <w:rsid w:val="6680376E"/>
    <w:rsid w:val="66ED31EA"/>
    <w:rsid w:val="67821EC6"/>
    <w:rsid w:val="67B0454D"/>
    <w:rsid w:val="67B80E6F"/>
    <w:rsid w:val="68353938"/>
    <w:rsid w:val="684322E5"/>
    <w:rsid w:val="691A3243"/>
    <w:rsid w:val="691C0AF9"/>
    <w:rsid w:val="692F4FB5"/>
    <w:rsid w:val="696C42BB"/>
    <w:rsid w:val="698A6B0F"/>
    <w:rsid w:val="6A5E5736"/>
    <w:rsid w:val="6A6C030F"/>
    <w:rsid w:val="6A782EAA"/>
    <w:rsid w:val="6AB018B3"/>
    <w:rsid w:val="6B48285D"/>
    <w:rsid w:val="6B704279"/>
    <w:rsid w:val="6CB91C59"/>
    <w:rsid w:val="6D020EA1"/>
    <w:rsid w:val="6D0E12A5"/>
    <w:rsid w:val="6D19678B"/>
    <w:rsid w:val="6D614B3C"/>
    <w:rsid w:val="6E0F1211"/>
    <w:rsid w:val="6E466B10"/>
    <w:rsid w:val="6E760C00"/>
    <w:rsid w:val="6F1D388C"/>
    <w:rsid w:val="6FBD0858"/>
    <w:rsid w:val="703A2086"/>
    <w:rsid w:val="707E702D"/>
    <w:rsid w:val="70CF0425"/>
    <w:rsid w:val="70D81291"/>
    <w:rsid w:val="71AF1F0B"/>
    <w:rsid w:val="72350440"/>
    <w:rsid w:val="72574B2F"/>
    <w:rsid w:val="72727675"/>
    <w:rsid w:val="72BD7997"/>
    <w:rsid w:val="72E1752D"/>
    <w:rsid w:val="731E7927"/>
    <w:rsid w:val="73892252"/>
    <w:rsid w:val="73A015C2"/>
    <w:rsid w:val="73A913CF"/>
    <w:rsid w:val="73AF14C8"/>
    <w:rsid w:val="73EB1497"/>
    <w:rsid w:val="74000A47"/>
    <w:rsid w:val="741313F8"/>
    <w:rsid w:val="74885606"/>
    <w:rsid w:val="74E565B8"/>
    <w:rsid w:val="74F6069E"/>
    <w:rsid w:val="751115BE"/>
    <w:rsid w:val="75740E00"/>
    <w:rsid w:val="763A080C"/>
    <w:rsid w:val="767801D1"/>
    <w:rsid w:val="768F6E57"/>
    <w:rsid w:val="76937ED4"/>
    <w:rsid w:val="769E5EB2"/>
    <w:rsid w:val="769E6DC6"/>
    <w:rsid w:val="76E54ED4"/>
    <w:rsid w:val="76EB5B39"/>
    <w:rsid w:val="776F4F23"/>
    <w:rsid w:val="777F7F36"/>
    <w:rsid w:val="77A73031"/>
    <w:rsid w:val="77AA326E"/>
    <w:rsid w:val="78156E78"/>
    <w:rsid w:val="78164CB9"/>
    <w:rsid w:val="782D1578"/>
    <w:rsid w:val="782D5EAF"/>
    <w:rsid w:val="786302A1"/>
    <w:rsid w:val="789F1175"/>
    <w:rsid w:val="78F356EE"/>
    <w:rsid w:val="7931734A"/>
    <w:rsid w:val="79485687"/>
    <w:rsid w:val="79A42FD7"/>
    <w:rsid w:val="79D1649D"/>
    <w:rsid w:val="7A137B65"/>
    <w:rsid w:val="7A1D7187"/>
    <w:rsid w:val="7A640518"/>
    <w:rsid w:val="7ADB38D4"/>
    <w:rsid w:val="7AF0486D"/>
    <w:rsid w:val="7B8B7588"/>
    <w:rsid w:val="7B987C1A"/>
    <w:rsid w:val="7BA5114A"/>
    <w:rsid w:val="7BC127A1"/>
    <w:rsid w:val="7C2E7EB5"/>
    <w:rsid w:val="7CD230DB"/>
    <w:rsid w:val="7CF11CA2"/>
    <w:rsid w:val="7D2F2952"/>
    <w:rsid w:val="7DD2691C"/>
    <w:rsid w:val="7DF96D35"/>
    <w:rsid w:val="7E150E09"/>
    <w:rsid w:val="7E155937"/>
    <w:rsid w:val="7E3563A1"/>
    <w:rsid w:val="7E9326F9"/>
    <w:rsid w:val="7EE20452"/>
    <w:rsid w:val="7F395D9C"/>
    <w:rsid w:val="7F9A693A"/>
    <w:rsid w:val="7FE7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/>
      <w:jc w:val="both"/>
    </w:pPr>
    <w:rPr>
      <w:rFonts w:ascii="Times New Roman" w:hAnsi="Times New Roman" w:eastAsia="Times New Roman" w:cstheme="minorBidi"/>
      <w:kern w:val="2"/>
      <w:szCs w:val="22"/>
      <w:lang w:val="en-US" w:eastAsia="zh-CN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0"/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</w:style>
  <w:style w:type="paragraph" w:customStyle="1" w:styleId="73">
    <w:name w:val="EW"/>
    <w:basedOn w:val="69"/>
    <w:qFormat/>
    <w:uiPriority w:val="0"/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numPr>
        <w:ilvl w:val="0"/>
        <w:numId w:val="3"/>
      </w:numPr>
      <w:spacing w:after="120"/>
    </w:pPr>
    <w:rPr>
      <w:rFonts w:eastAsia="Calibri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116">
    <w:name w:val="副标题 字符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批注文字 字符"/>
    <w:link w:val="30"/>
    <w:qFormat/>
    <w:uiPriority w:val="0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snapToGrid w:val="0"/>
      <w:spacing w:afterLines="50" w:line="264" w:lineRule="auto"/>
    </w:pPr>
    <w:rPr>
      <w:rFonts w:eastAsia="Batang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列表段落 字符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snapToGrid w:val="0"/>
      <w:spacing w:after="60"/>
    </w:pPr>
    <w:rPr>
      <w:szCs w:val="16"/>
    </w:rPr>
  </w:style>
  <w:style w:type="character" w:customStyle="1" w:styleId="127">
    <w:name w:val="页脚 字符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正文文本 字符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CEEACA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题注 字符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Props1.xml><?xml version="1.0" encoding="utf-8"?>
<ds:datastoreItem xmlns:ds="http://schemas.openxmlformats.org/officeDocument/2006/customXml" ds:itemID="{25FC1627-44DD-4BBC-BD3F-AAFF9265938E}">
  <ds:schemaRefs/>
</ds:datastoreItem>
</file>

<file path=customXml/itemProps2.xml><?xml version="1.0" encoding="utf-8"?>
<ds:datastoreItem xmlns:ds="http://schemas.openxmlformats.org/officeDocument/2006/customXml" ds:itemID="{4F156B33-FE54-4BF7-8206-606715473FFD}">
  <ds:schemaRefs/>
</ds:datastoreItem>
</file>

<file path=customXml/itemProps3.xml><?xml version="1.0" encoding="utf-8"?>
<ds:datastoreItem xmlns:ds="http://schemas.openxmlformats.org/officeDocument/2006/customXml" ds:itemID="{04BF5348-08CE-46A2-B6C7-D667930F0DC1}">
  <ds:schemaRefs/>
</ds:datastoreItem>
</file>

<file path=customXml/itemProps4.xml><?xml version="1.0" encoding="utf-8"?>
<ds:datastoreItem xmlns:ds="http://schemas.openxmlformats.org/officeDocument/2006/customXml" ds:itemID="{9C2FF60E-EDDE-47F2-966E-A40547D413B7}">
  <ds:schemaRefs/>
</ds:datastoreItem>
</file>

<file path=customXml/itemProps5.xml><?xml version="1.0" encoding="utf-8"?>
<ds:datastoreItem xmlns:ds="http://schemas.openxmlformats.org/officeDocument/2006/customXml" ds:itemID="{DE437376-A7B6-47B7-A9FE-9D6C625341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3</Pages>
  <Words>1156</Words>
  <Characters>6595</Characters>
  <Lines>54</Lines>
  <Paragraphs>15</Paragraphs>
  <TotalTime>1</TotalTime>
  <ScaleCrop>false</ScaleCrop>
  <LinksUpToDate>false</LinksUpToDate>
  <CharactersWithSpaces>7736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2023-09-26T03:32:00Z</dcterms:created>
  <dc:creator>ZTE Corporation</dc:creator>
  <cp:lastModifiedBy>ZTE</cp:lastModifiedBy>
  <cp:lastPrinted>2018-04-07T03:05:00Z</cp:lastPrinted>
  <dcterms:modified xsi:type="dcterms:W3CDTF">2023-09-26T09:04:01Z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2052-11.8.2.12085</vt:lpwstr>
  </property>
  <property fmtid="{D5CDD505-2E9C-101B-9397-08002B2CF9AE}" pid="11" name="ICV">
    <vt:lpwstr>8859F7BE6D5A477EA4ABDA1646198D40</vt:lpwstr>
  </property>
</Properties>
</file>